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84"/>
          <w:szCs w:val="84"/>
        </w:rPr>
      </w:pPr>
      <w:r>
        <w:rPr>
          <w:rFonts w:ascii="黑体" w:eastAsia="黑体"/>
          <w:color w:val="000000"/>
          <w:sz w:val="84"/>
          <w:szCs w:val="84"/>
        </w:rPr>
        <w:drawing>
          <wp:inline distT="0" distB="0" distL="0" distR="0">
            <wp:extent cx="2124075" cy="9334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黑体" w:eastAsia="黑体"/>
          <w:sz w:val="84"/>
          <w:szCs w:val="84"/>
        </w:rPr>
      </w:pPr>
    </w:p>
    <w:p>
      <w:pPr>
        <w:jc w:val="center"/>
        <w:rPr>
          <w:rFonts w:ascii="黑体" w:eastAsia="黑体"/>
          <w:b/>
          <w:sz w:val="84"/>
          <w:szCs w:val="84"/>
        </w:rPr>
      </w:pPr>
      <w:r>
        <w:rPr>
          <w:rFonts w:hint="eastAsia" w:ascii="黑体" w:eastAsia="黑体"/>
          <w:b/>
          <w:sz w:val="84"/>
          <w:szCs w:val="84"/>
        </w:rPr>
        <w:t>技 术 协 议</w:t>
      </w:r>
    </w:p>
    <w:p>
      <w:pPr>
        <w:rPr>
          <w:rFonts w:ascii="黑体" w:eastAsia="黑体"/>
          <w:b/>
          <w:sz w:val="52"/>
          <w:szCs w:val="52"/>
        </w:rPr>
      </w:pPr>
    </w:p>
    <w:p>
      <w:pPr>
        <w:rPr>
          <w:rFonts w:ascii="黑体" w:eastAsia="黑体"/>
          <w:b/>
          <w:sz w:val="52"/>
          <w:szCs w:val="52"/>
        </w:rPr>
      </w:pPr>
    </w:p>
    <w:p>
      <w:pPr>
        <w:ind w:firstLine="1827" w:firstLineChars="350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产品型号：T2/1000</w:t>
      </w:r>
    </w:p>
    <w:p>
      <w:pPr>
        <w:ind w:firstLine="1827" w:firstLineChars="350"/>
        <w:rPr>
          <w:rFonts w:ascii="黑体" w:eastAsia="黑体"/>
          <w:b/>
          <w:sz w:val="52"/>
          <w:szCs w:val="52"/>
        </w:rPr>
      </w:pPr>
      <w:r>
        <w:rPr>
          <w:rFonts w:hint="eastAsia" w:ascii="黑体" w:eastAsia="黑体"/>
          <w:b/>
          <w:sz w:val="52"/>
          <w:szCs w:val="52"/>
        </w:rPr>
        <w:t>产品名称：全机能数控车床</w:t>
      </w:r>
    </w:p>
    <w:p>
      <w:pPr>
        <w:rPr>
          <w:rFonts w:ascii="楷体_GB2312" w:eastAsia="楷体_GB2312"/>
          <w:b/>
          <w:bCs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</w:p>
    <w:p>
      <w:pPr>
        <w:snapToGrid w:val="0"/>
        <w:spacing w:line="380" w:lineRule="exact"/>
        <w:rPr>
          <w:rFonts w:ascii="宋体" w:hAnsi="宋体"/>
          <w:sz w:val="36"/>
          <w:szCs w:val="36"/>
        </w:rPr>
      </w:pPr>
    </w:p>
    <w:p>
      <w:pPr>
        <w:ind w:firstLine="1800" w:firstLineChars="50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甲方：</w:t>
      </w:r>
      <w:r>
        <w:rPr>
          <w:rFonts w:ascii="宋体" w:hAnsi="宋体"/>
          <w:sz w:val="36"/>
          <w:szCs w:val="36"/>
        </w:rPr>
        <w:t xml:space="preserve"> </w:t>
      </w:r>
    </w:p>
    <w:p>
      <w:pPr>
        <w:ind w:firstLine="1800" w:firstLineChars="50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乙方：沈阳希斯工业服务有限公司</w:t>
      </w:r>
    </w:p>
    <w:p>
      <w:pPr>
        <w:rPr>
          <w:rFonts w:ascii="宋体" w:hAnsi="宋体"/>
          <w:sz w:val="36"/>
          <w:szCs w:val="36"/>
        </w:rPr>
      </w:pPr>
    </w:p>
    <w:p>
      <w:pPr>
        <w:ind w:firstLine="1800" w:firstLineChars="50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协议号：No.</w:t>
      </w:r>
    </w:p>
    <w:p>
      <w:pPr>
        <w:jc w:val="center"/>
        <w:rPr>
          <w:b/>
          <w:sz w:val="44"/>
        </w:rPr>
      </w:pPr>
    </w:p>
    <w:p>
      <w:pPr>
        <w:rPr>
          <w:b/>
          <w:sz w:val="44"/>
        </w:rPr>
        <w:sectPr>
          <w:footerReference r:id="rId3" w:type="even"/>
          <w:pgSz w:w="11906" w:h="16838"/>
          <w:pgMar w:top="1440" w:right="1134" w:bottom="1440" w:left="1440" w:header="907" w:footer="907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技术协议</w:t>
      </w:r>
    </w:p>
    <w:p>
      <w:pPr>
        <w:snapToGrid w:val="0"/>
        <w:spacing w:before="100" w:beforeAutospacing="1"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甲方：                                       乙方：沈阳希斯工业服务有限公司</w:t>
      </w:r>
    </w:p>
    <w:p>
      <w:pPr>
        <w:snapToGrid w:val="0"/>
        <w:spacing w:line="380" w:lineRule="exact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  <w:u w:val="single"/>
        </w:rPr>
        <w:t xml:space="preserve">                     </w:t>
      </w:r>
      <w:r>
        <w:rPr>
          <w:rFonts w:hint="eastAsia" w:ascii="宋体" w:hAnsi="宋体"/>
          <w:sz w:val="24"/>
        </w:rPr>
        <w:t>公司（以下简称：甲方）订购沈阳希斯工业服务有限公司（以下简称：乙方）生产的</w:t>
      </w:r>
      <w:r>
        <w:rPr>
          <w:rFonts w:ascii="宋体" w:hAnsi="宋体"/>
          <w:sz w:val="24"/>
        </w:rPr>
        <w:t xml:space="preserve"> T2/1000</w:t>
      </w:r>
      <w:r>
        <w:rPr>
          <w:rFonts w:hint="eastAsia" w:ascii="宋体" w:hAnsi="宋体"/>
          <w:sz w:val="24"/>
        </w:rPr>
        <w:t xml:space="preserve">数控车床 </w:t>
      </w:r>
      <w:r>
        <w:rPr>
          <w:rFonts w:hint="eastAsia" w:ascii="宋体" w:hAnsi="宋体"/>
          <w:b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台。经双方友好协商，达成以下技术协议。</w:t>
      </w:r>
    </w:p>
    <w:p>
      <w:pPr>
        <w:numPr>
          <w:ilvl w:val="0"/>
          <w:numId w:val="2"/>
        </w:numPr>
        <w:snapToGrid w:val="0"/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机床的主要技术参数及精度：</w:t>
      </w:r>
    </w:p>
    <w:p>
      <w:pPr>
        <w:snapToGrid w:val="0"/>
        <w:spacing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1.机床的主要技术参数：</w:t>
      </w:r>
    </w:p>
    <w:tbl>
      <w:tblPr>
        <w:tblStyle w:val="13"/>
        <w:tblW w:w="9356" w:type="dxa"/>
        <w:tblInd w:w="2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4"/>
        <w:gridCol w:w="462"/>
        <w:gridCol w:w="1559"/>
        <w:gridCol w:w="1384"/>
        <w:gridCol w:w="2833"/>
        <w:gridCol w:w="1984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  <w:tblHeader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规格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床身上最大回转直径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560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最大切削长度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最大切削直径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盘类</w:t>
            </w: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400轴类</w:t>
            </w: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350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滑板上最大回转直径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350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主轴端部型式及代号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A2-</w:t>
            </w: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前端锥孔1:20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主轴孔直径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65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最大通过棒料直径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Φ</w:t>
            </w:r>
            <w:r>
              <w:rPr>
                <w:rFonts w:hint="eastAsia" w:ascii="宋体" w:hAnsi="宋体"/>
                <w:szCs w:val="21"/>
              </w:rPr>
              <w:t>50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中空卡盘可用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单主轴</w:t>
            </w:r>
          </w:p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主轴箱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主轴转速范围</w:t>
            </w:r>
            <w:r>
              <w:rPr>
                <w:rFonts w:ascii="宋体" w:hAnsi="宋体"/>
                <w:szCs w:val="21"/>
              </w:rPr>
              <w:t>/</w:t>
            </w:r>
          </w:p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主轴最大输出扭矩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 w:firstLine="23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r/min/Nm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spacing w:val="-16"/>
                <w:szCs w:val="21"/>
              </w:rPr>
            </w:pPr>
            <w:r>
              <w:rPr>
                <w:rFonts w:hint="eastAsia" w:ascii="宋体" w:hAnsi="宋体"/>
                <w:spacing w:val="-16"/>
                <w:szCs w:val="21"/>
              </w:rPr>
              <w:t>50～</w:t>
            </w:r>
            <w:r>
              <w:rPr>
                <w:rFonts w:hint="eastAsia" w:ascii="宋体" w:hAnsi="宋体"/>
                <w:szCs w:val="21"/>
              </w:rPr>
              <w:t>45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</w:rPr>
              <w:t>/177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广数</w:t>
            </w:r>
            <w:r>
              <w:rPr>
                <w:rFonts w:hint="eastAsia" w:ascii="宋体" w:hAnsi="宋体"/>
                <w:szCs w:val="21"/>
              </w:rPr>
              <w:t>988TA1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主电机</w:t>
            </w:r>
          </w:p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输出功率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hint="eastAsia" w:ascii="宋体" w:hAnsi="宋体"/>
                <w:szCs w:val="21"/>
              </w:rPr>
              <w:t>分钟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连续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kW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15/11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ZJY265A-11AM-B5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13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标准卡盘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卡盘直径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inch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-57" w:right="-57"/>
              <w:jc w:val="center"/>
              <w:rPr>
                <w:rFonts w:ascii="宋体" w:hAnsi="宋体"/>
                <w:spacing w:val="-14"/>
                <w:szCs w:val="21"/>
              </w:rPr>
            </w:pPr>
            <w:r>
              <w:rPr>
                <w:rFonts w:hint="eastAsia" w:ascii="宋体" w:hAnsi="宋体"/>
                <w:spacing w:val="-14"/>
                <w:szCs w:val="21"/>
              </w:rPr>
              <w:t>8</w:t>
            </w:r>
            <w:r>
              <w:rPr>
                <w:rFonts w:ascii="宋体" w:hAnsi="宋体"/>
                <w:spacing w:val="-14"/>
                <w:szCs w:val="21"/>
              </w:rPr>
              <w:sym w:font="Symbol" w:char="F0B2"/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轴快移速度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m/min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滚动导轨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</w:t>
            </w:r>
            <w:r>
              <w:rPr>
                <w:rFonts w:hint="eastAsia" w:ascii="宋体" w:hAnsi="宋体"/>
                <w:szCs w:val="21"/>
              </w:rPr>
              <w:t>轴快移速度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m/min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滚动导轨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轴行程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</w:t>
            </w:r>
            <w:r>
              <w:rPr>
                <w:rFonts w:hint="eastAsia" w:ascii="宋体" w:hAnsi="宋体"/>
                <w:szCs w:val="21"/>
              </w:rPr>
              <w:t>轴行程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1050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leftChars="0" w:right="57" w:right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尾座底座行程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leftChars="0" w:right="57" w:right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leftChars="0" w:right="57" w:right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710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  <w:highlight w:val="red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leftChars="0" w:right="57" w:righ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尾座套筒行程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leftChars="0" w:right="57" w:rightChars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leftChars="0" w:right="57" w:rightChars="0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100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  <w:highlight w:val="red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leftChars="0" w:right="57" w:right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尾座主轴锥孔锥度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leftChars="0" w:right="57" w:right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莫氏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leftChars="0" w:right="57" w:right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莫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  <w:highlight w:val="red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标准刀架形式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卧式8工位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刀具尺寸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外圆刀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5×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镗刀杆直径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Ф40/Ф32/Ф25/Ф20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3155" w:type="dxa"/>
            <w:gridSpan w:val="3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刀盘可否就近选刀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</w:p>
        </w:tc>
        <w:tc>
          <w:tcPr>
            <w:tcW w:w="19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机床重量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总重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4500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最大承重</w:t>
            </w:r>
          </w:p>
        </w:tc>
        <w:tc>
          <w:tcPr>
            <w:tcW w:w="1559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盘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件</w:t>
            </w:r>
          </w:p>
        </w:tc>
        <w:tc>
          <w:tcPr>
            <w:tcW w:w="13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</w:t>
            </w:r>
            <w:r>
              <w:rPr>
                <w:rFonts w:hint="eastAsia" w:ascii="宋体" w:hAnsi="宋体"/>
                <w:szCs w:val="21"/>
              </w:rPr>
              <w:t>(含卡盘等机床附件)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96" w:type="dxa"/>
            <w:gridSpan w:val="2"/>
            <w:vMerge w:val="continue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类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件</w:t>
            </w:r>
          </w:p>
        </w:tc>
        <w:tc>
          <w:tcPr>
            <w:tcW w:w="13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28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00</w:t>
            </w:r>
            <w:r>
              <w:rPr>
                <w:rFonts w:hint="eastAsia" w:ascii="宋体" w:hAnsi="宋体"/>
                <w:szCs w:val="21"/>
              </w:rPr>
              <w:t>(含卡盘等机床附件)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0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机床外型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ind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长×宽×高</w:t>
            </w:r>
          </w:p>
        </w:tc>
        <w:tc>
          <w:tcPr>
            <w:tcW w:w="1384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mm</w:t>
            </w:r>
          </w:p>
        </w:tc>
        <w:tc>
          <w:tcPr>
            <w:tcW w:w="2833" w:type="dxa"/>
            <w:vAlign w:val="center"/>
          </w:tcPr>
          <w:p>
            <w:pPr>
              <w:spacing w:line="380" w:lineRule="exact"/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3570×1860×1900</w:t>
            </w:r>
          </w:p>
        </w:tc>
        <w:tc>
          <w:tcPr>
            <w:tcW w:w="1984" w:type="dxa"/>
            <w:vAlign w:val="center"/>
          </w:tcPr>
          <w:p>
            <w:pPr>
              <w:ind w:left="57" w:right="5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不含排屑器</w:t>
            </w:r>
          </w:p>
        </w:tc>
      </w:tr>
    </w:tbl>
    <w:p>
      <w:pPr>
        <w:snapToGrid w:val="0"/>
        <w:spacing w:before="100" w:beforeAutospacing="1"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2．机床精度：</w:t>
      </w:r>
    </w:p>
    <w:p>
      <w:pPr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机床精度贯彻GB/T16462-2007《数控卧式车床 精度检测》标准</w:t>
      </w:r>
      <w:r>
        <w:rPr>
          <w:rFonts w:ascii="宋体" w:hAnsi="宋体"/>
          <w:sz w:val="24"/>
        </w:rPr>
        <w:t>.</w:t>
      </w:r>
    </w:p>
    <w:tbl>
      <w:tblPr>
        <w:tblStyle w:val="13"/>
        <w:tblW w:w="9356" w:type="dxa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2209"/>
        <w:gridCol w:w="5576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 验 项 目</w:t>
            </w:r>
          </w:p>
        </w:tc>
        <w:tc>
          <w:tcPr>
            <w:tcW w:w="5576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工厂标准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加工精度</w:t>
            </w:r>
          </w:p>
        </w:tc>
        <w:tc>
          <w:tcPr>
            <w:tcW w:w="5576" w:type="dxa"/>
            <w:vAlign w:val="center"/>
          </w:tcPr>
          <w:p>
            <w:pPr>
              <w:pStyle w:val="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IT6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加工工件圆度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</w:t>
            </w:r>
            <w:r>
              <w:rPr>
                <w:szCs w:val="21"/>
              </w:rPr>
              <w:t>25</w:t>
            </w:r>
            <w:r>
              <w:rPr>
                <w:rFonts w:hint="eastAsia"/>
                <w:szCs w:val="21"/>
              </w:rPr>
              <w:t>mm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Ф</w:t>
            </w:r>
            <w:r>
              <w:rPr>
                <w:szCs w:val="21"/>
              </w:rPr>
              <w:t>75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加工工件圆柱度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0.010mm / 150mm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加工工件平面度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0.010mm/</w:t>
            </w:r>
            <w:r>
              <w:rPr>
                <w:rFonts w:hint="eastAsia" w:ascii="宋体"/>
                <w:szCs w:val="21"/>
              </w:rPr>
              <w:t>Ф</w:t>
            </w:r>
            <w:r>
              <w:rPr>
                <w:rFonts w:hint="eastAsia"/>
                <w:szCs w:val="21"/>
              </w:rPr>
              <w:t>200mm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780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加工工件表面粗糙度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Ra</w:t>
            </w:r>
            <w:r>
              <w:rPr>
                <w:rFonts w:ascii="宋体"/>
                <w:szCs w:val="21"/>
              </w:rPr>
              <w:t>1.25</w:t>
            </w:r>
            <w:r>
              <w:rPr>
                <w:rFonts w:hint="eastAsia" w:ascii="宋体"/>
                <w:szCs w:val="21"/>
              </w:rPr>
              <w:t>μ</w:t>
            </w:r>
            <w:r>
              <w:rPr>
                <w:rFonts w:hint="eastAsia"/>
                <w:szCs w:val="21"/>
              </w:rPr>
              <w:t>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7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定位精度</w:t>
            </w:r>
          </w:p>
        </w:tc>
        <w:tc>
          <w:tcPr>
            <w:tcW w:w="22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0.008</w:t>
            </w:r>
            <w:r>
              <w:rPr>
                <w:szCs w:val="21"/>
              </w:rPr>
              <w:t>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5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0.008mm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571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重复定位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度</w:t>
            </w:r>
          </w:p>
        </w:tc>
        <w:tc>
          <w:tcPr>
            <w:tcW w:w="22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</w:t>
            </w:r>
            <w:r>
              <w:rPr>
                <w:szCs w:val="21"/>
              </w:rPr>
              <w:t>mm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57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</w:t>
            </w:r>
          </w:p>
        </w:tc>
        <w:tc>
          <w:tcPr>
            <w:tcW w:w="557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0.004mm</w:t>
            </w:r>
          </w:p>
        </w:tc>
      </w:tr>
    </w:tbl>
    <w:p>
      <w:pPr>
        <w:spacing w:before="100" w:beforeAutospacing="1"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二、机床标准配置及主要外购件：</w:t>
      </w:r>
    </w:p>
    <w:tbl>
      <w:tblPr>
        <w:tblStyle w:val="13"/>
        <w:tblW w:w="9356" w:type="dxa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3720"/>
        <w:gridCol w:w="1543"/>
        <w:gridCol w:w="2413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配套件名称</w:t>
            </w:r>
          </w:p>
        </w:tc>
        <w:tc>
          <w:tcPr>
            <w:tcW w:w="372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规格型号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生产厂家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   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数控系统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GSK988TA1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广数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 电 机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ZJY265A-11AM-B5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广数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  <w:r>
              <w:rPr>
                <w:rFonts w:hint="eastAsia" w:ascii="宋体" w:hAnsi="宋体"/>
                <w:szCs w:val="21"/>
              </w:rPr>
              <w:t>轴电机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带刹车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130SJT-MZ100D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广数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</w:t>
            </w:r>
            <w:r>
              <w:rPr>
                <w:rFonts w:hint="eastAsia" w:ascii="宋体" w:hAnsi="宋体"/>
                <w:szCs w:val="21"/>
              </w:rPr>
              <w:t>轴电机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130SJT-M100D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广数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68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主轴轴承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90X140X37</w:t>
            </w:r>
          </w:p>
        </w:tc>
        <w:tc>
          <w:tcPr>
            <w:tcW w:w="15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NSK/NTN（日本）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68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100X150X37</w:t>
            </w: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spacing w:line="380" w:lineRule="exact"/>
              <w:ind w:left="24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" w:hRule="atLeast"/>
        </w:trPr>
        <w:tc>
          <w:tcPr>
            <w:tcW w:w="1680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100X150X45</w:t>
            </w:r>
          </w:p>
        </w:tc>
        <w:tc>
          <w:tcPr>
            <w:tcW w:w="15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3" w:type="dxa"/>
            <w:vMerge w:val="continue"/>
            <w:vAlign w:val="center"/>
          </w:tcPr>
          <w:p>
            <w:pPr>
              <w:spacing w:line="380" w:lineRule="exact"/>
              <w:ind w:left="24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X轴滚珠丝杠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φ32×12-635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THK（日本）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Z轴滚珠丝杠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φ32×12-1542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THK（日本）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X轴导轨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35规格滚珠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Cs w:val="21"/>
              </w:rPr>
              <w:t>PMI</w:t>
            </w:r>
            <w:r>
              <w:rPr>
                <w:rFonts w:hint="eastAsia" w:ascii="宋体" w:hAnsi="宋体"/>
                <w:szCs w:val="21"/>
              </w:rPr>
              <w:t>（台湾）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Z轴导轨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35规格滚珠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Cs w:val="21"/>
              </w:rPr>
              <w:t>PMI</w:t>
            </w:r>
            <w:r>
              <w:rPr>
                <w:rFonts w:hint="eastAsia" w:ascii="宋体" w:hAnsi="宋体"/>
                <w:szCs w:val="21"/>
              </w:rPr>
              <w:t>（台湾）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尾座导轨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35规格滚珠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ascii="宋体" w:hAnsi="宋体"/>
                <w:color w:val="000000"/>
                <w:szCs w:val="21"/>
              </w:rPr>
              <w:t>PMI</w:t>
            </w:r>
            <w:r>
              <w:rPr>
                <w:rFonts w:hint="eastAsia" w:ascii="宋体" w:hAnsi="宋体"/>
                <w:szCs w:val="21"/>
              </w:rPr>
              <w:t>（台湾）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X轴丝杠轴承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  <w:r>
              <w:rPr>
                <w:rFonts w:hint="eastAsia" w:ascii="宋体" w:hAnsi="宋体"/>
                <w:szCs w:val="21"/>
              </w:rPr>
              <w:t>X62X15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NSK/NTN（日本）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Z轴丝杠轴承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  <w:r>
              <w:rPr>
                <w:rFonts w:hint="eastAsia" w:ascii="宋体" w:hAnsi="宋体"/>
                <w:szCs w:val="21"/>
              </w:rPr>
              <w:t>X62X15</w:t>
            </w:r>
          </w:p>
        </w:tc>
        <w:tc>
          <w:tcPr>
            <w:tcW w:w="154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NSK/NTN（日本）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液压卡盘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8寸中空</w:t>
            </w:r>
          </w:p>
        </w:tc>
        <w:tc>
          <w:tcPr>
            <w:tcW w:w="15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台湾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亿川/千岛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bookmarkStart w:id="0" w:name="_GoBack" w:colFirst="0" w:colLast="3"/>
            <w:r>
              <w:rPr>
                <w:rFonts w:hint="eastAsia" w:ascii="宋体" w:hAnsi="宋体"/>
                <w:szCs w:val="21"/>
              </w:rPr>
              <w:t>尾    座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套筒伸缩液压尾座 硬轨手动锁紧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自制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6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尾座顶尖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MT4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NSR（韩国）</w:t>
            </w:r>
          </w:p>
        </w:tc>
      </w:tr>
      <w:bookmarkEnd w:id="0"/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    架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卧式8工位液压刀架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进口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台鑫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68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冷却排屑装置</w:t>
            </w:r>
          </w:p>
        </w:tc>
        <w:tc>
          <w:tcPr>
            <w:tcW w:w="3720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右侧链板式排屑器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国产</w:t>
            </w:r>
          </w:p>
        </w:tc>
        <w:tc>
          <w:tcPr>
            <w:tcW w:w="241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注：链板式排屑器不适用于铸铁件在带水加工的情况。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三、机床随机附件：</w:t>
      </w:r>
    </w:p>
    <w:tbl>
      <w:tblPr>
        <w:tblStyle w:val="13"/>
        <w:tblW w:w="0" w:type="auto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91"/>
        <w:gridCol w:w="2687"/>
        <w:gridCol w:w="1559"/>
        <w:gridCol w:w="2410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附件名称</w:t>
            </w:r>
          </w:p>
        </w:tc>
        <w:tc>
          <w:tcPr>
            <w:tcW w:w="26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型号规格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数量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地脚垫铁</w:t>
            </w:r>
          </w:p>
        </w:tc>
        <w:tc>
          <w:tcPr>
            <w:tcW w:w="2687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1套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991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车削刀夹</w:t>
            </w: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外圆刀压刀块25X25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套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端面刀夹25X25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1个</w:t>
            </w:r>
          </w:p>
        </w:tc>
        <w:tc>
          <w:tcPr>
            <w:tcW w:w="2410" w:type="dxa"/>
          </w:tcPr>
          <w:p>
            <w:pPr>
              <w:jc w:val="center"/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镗孔刀夹φ40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3个</w:t>
            </w:r>
          </w:p>
        </w:tc>
        <w:tc>
          <w:tcPr>
            <w:tcW w:w="2410" w:type="dxa"/>
          </w:tcPr>
          <w:p>
            <w:pPr>
              <w:jc w:val="center"/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687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刀套</w:t>
            </w:r>
            <w:r>
              <w:rPr>
                <w:rFonts w:ascii="宋体" w:hAnsi="宋体"/>
                <w:szCs w:val="21"/>
              </w:rPr>
              <w:sym w:font="Symbol" w:char="F066"/>
            </w:r>
            <w:r>
              <w:rPr>
                <w:rFonts w:hint="eastAsia" w:ascii="宋体" w:hAnsi="宋体"/>
                <w:szCs w:val="21"/>
              </w:rPr>
              <w:t>32,</w:t>
            </w:r>
            <w:r>
              <w:rPr>
                <w:rFonts w:ascii="宋体" w:hAnsi="宋体"/>
                <w:szCs w:val="21"/>
              </w:rPr>
              <w:sym w:font="Symbol" w:char="F066"/>
            </w:r>
            <w:r>
              <w:rPr>
                <w:rFonts w:hint="eastAsia" w:ascii="宋体" w:hAnsi="宋体"/>
                <w:szCs w:val="21"/>
              </w:rPr>
              <w:t>25,</w:t>
            </w:r>
            <w:r>
              <w:rPr>
                <w:rFonts w:ascii="宋体" w:hAnsi="宋体"/>
                <w:szCs w:val="21"/>
              </w:rPr>
              <w:sym w:font="Symbol" w:char="F066"/>
            </w: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各1个</w:t>
            </w:r>
          </w:p>
        </w:tc>
        <w:tc>
          <w:tcPr>
            <w:tcW w:w="2410" w:type="dxa"/>
          </w:tcPr>
          <w:p>
            <w:pPr>
              <w:jc w:val="center"/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冷却排屑装置</w:t>
            </w:r>
          </w:p>
        </w:tc>
        <w:tc>
          <w:tcPr>
            <w:tcW w:w="2687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右侧链板式排屑器</w:t>
            </w: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1套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991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铁屑小车</w:t>
            </w:r>
          </w:p>
        </w:tc>
        <w:tc>
          <w:tcPr>
            <w:tcW w:w="2687" w:type="dxa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1套</w:t>
            </w:r>
          </w:p>
        </w:tc>
        <w:tc>
          <w:tcPr>
            <w:tcW w:w="2410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8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其它按机床标准配置执行。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四、随机文件：</w:t>
      </w:r>
    </w:p>
    <w:tbl>
      <w:tblPr>
        <w:tblStyle w:val="13"/>
        <w:tblW w:w="0" w:type="auto"/>
        <w:tblInd w:w="10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678"/>
        <w:gridCol w:w="1559"/>
        <w:gridCol w:w="2410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4678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技术资料名称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份数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机床使用说明书（机械）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合格证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装箱单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卡盘、油缸使用说明书（或维护手册）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各一份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润滑泵说明书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刀架使用说明书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液压系统使用说明书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排屑器使用说明书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机床使用说明书（电气）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广州数控系统文件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一套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电路图册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PLC程序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4678" w:type="dxa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机床控制参数表</w:t>
            </w:r>
          </w:p>
        </w:tc>
        <w:tc>
          <w:tcPr>
            <w:tcW w:w="1559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一份</w:t>
            </w:r>
          </w:p>
        </w:tc>
        <w:tc>
          <w:tcPr>
            <w:tcW w:w="2410" w:type="dxa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电子版</w:t>
            </w:r>
          </w:p>
        </w:tc>
      </w:tr>
    </w:tbl>
    <w:p>
      <w:pPr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五、机床验收：</w:t>
      </w:r>
    </w:p>
    <w:p>
      <w:pPr>
        <w:tabs>
          <w:tab w:val="left" w:pos="525"/>
          <w:tab w:val="left" w:pos="840"/>
        </w:tabs>
        <w:spacing w:line="380" w:lineRule="exact"/>
        <w:ind w:left="240" w:hanging="240" w:hanging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1．预验收：预验收在乙方场地进行，检验该机床合格证中项目，并车削乙方标准综合试件1件，各项达到要求，即视为机床预验收合格，可以发货。刀具与零件由乙方提供。</w:t>
      </w:r>
    </w:p>
    <w:p>
      <w:pPr>
        <w:tabs>
          <w:tab w:val="left" w:pos="709"/>
        </w:tabs>
        <w:spacing w:line="380" w:lineRule="exact"/>
        <w:ind w:left="240" w:hanging="240" w:hangingChars="10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2．终验收：终验收在甲方场地进行，由乙方人员指导，机床调试合格后，机床进入质量保证期。甲方应为乙方调试人员提供便利的工作条件。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六、技术培训：</w:t>
      </w:r>
    </w:p>
    <w:p>
      <w:pPr>
        <w:tabs>
          <w:tab w:val="left" w:pos="709"/>
        </w:tabs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甲方人员到乙方地进行培训，乙方负责对甲方人员进行操作、编程、维修等方面的技术培训，为期一周，培训人员的差旅费甲方自理。乙方人员在甲方现场进行有针对性的操作、编程培训。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七、不可抗拒的事故：</w:t>
      </w:r>
    </w:p>
    <w:p>
      <w:pPr>
        <w:tabs>
          <w:tab w:val="left" w:pos="709"/>
        </w:tabs>
        <w:spacing w:line="38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由于严重的灾害（如火灾、水灾、雪灾、地震等）及甲乙双方同意的其它不可抗拒的事故，致使一方不能履行本协议时，遇到上述事故的一方必须立即（以最快的速度）将影响本协议的情况，以传真或电报方式通知对方，并以航空特快专递形式提供事故的详细情况，以及影响本协议履行程度的证明文件，此证明文件应由受事故影响一方公证部门盖章，受上述事故影响而拖延的时间应在原定交货期的基础上顺延。</w:t>
      </w:r>
    </w:p>
    <w:p>
      <w:pPr>
        <w:tabs>
          <w:tab w:val="left" w:pos="709"/>
        </w:tabs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八、协议作为合同附件签字后与合同同时生效。</w:t>
      </w:r>
    </w:p>
    <w:p>
      <w:pPr>
        <w:snapToGrid w:val="0"/>
        <w:spacing w:line="380" w:lineRule="exact"/>
        <w:rPr>
          <w:rFonts w:ascii="宋体" w:hAnsi="宋体"/>
          <w:b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九、其它未尽事宜，双方友好协商解决。</w:t>
      </w:r>
    </w:p>
    <w:p>
      <w:pPr>
        <w:snapToGrid w:val="0"/>
        <w:spacing w:line="380" w:lineRule="exact"/>
        <w:rPr>
          <w:rFonts w:ascii="宋体" w:hAnsi="宋体"/>
          <w:b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甲    方：</w:t>
      </w:r>
      <w:r>
        <w:rPr>
          <w:rFonts w:hint="eastAsia" w:ascii="宋体" w:hAnsi="宋体"/>
          <w:b/>
          <w:sz w:val="24"/>
        </w:rPr>
        <w:t xml:space="preserve">                         </w:t>
      </w:r>
      <w:r>
        <w:rPr>
          <w:rFonts w:hint="eastAsia" w:ascii="宋体" w:hAnsi="宋体"/>
          <w:b/>
          <w:color w:val="000000"/>
          <w:sz w:val="24"/>
        </w:rPr>
        <w:t xml:space="preserve">       乙    方：沈阳希斯工业服务有限公司</w:t>
      </w: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代表签字：                                代表签字：</w:t>
      </w: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日    期：                                日    期：</w:t>
      </w: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p>
      <w:pPr>
        <w:snapToGrid w:val="0"/>
        <w:spacing w:line="380" w:lineRule="exact"/>
        <w:rPr>
          <w:rFonts w:ascii="宋体" w:hAnsi="宋体"/>
          <w:b/>
          <w:color w:val="000000"/>
          <w:sz w:val="24"/>
        </w:rPr>
      </w:pPr>
    </w:p>
    <w:sectPr>
      <w:headerReference r:id="rId4" w:type="default"/>
      <w:footerReference r:id="rId5" w:type="default"/>
      <w:pgSz w:w="11906" w:h="16838"/>
      <w:pgMar w:top="1440" w:right="1134" w:bottom="1440" w:left="1440" w:header="907" w:footer="90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end"/>
    </w:r>
  </w:p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rPr>
        <w:rFonts w:hint="eastAsia"/>
      </w:rPr>
      <w:t xml:space="preserve">沈阳希斯工业服务有限公司                                             </w:t>
    </w: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页 共 </w:t>
    </w:r>
    <w:r>
      <w:rPr>
        <w:kern w:val="0"/>
      </w:rPr>
      <w:fldChar w:fldCharType="begin"/>
    </w:r>
    <w:r>
      <w:rPr>
        <w:kern w:val="0"/>
      </w:rPr>
      <w:instrText xml:space="preserve"> </w:instrText>
    </w:r>
    <w:r>
      <w:rPr>
        <w:rFonts w:hint="eastAsia"/>
        <w:kern w:val="0"/>
      </w:rPr>
      <w:instrText xml:space="preserve">=</w:instrTex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kern w:val="0"/>
      </w:rPr>
      <w:instrText xml:space="preserve">5</w:instrText>
    </w:r>
    <w:r>
      <w:rPr>
        <w:kern w:val="0"/>
      </w:rPr>
      <w:fldChar w:fldCharType="end"/>
    </w:r>
    <w:r>
      <w:rPr>
        <w:rFonts w:hint="eastAsia"/>
        <w:kern w:val="0"/>
      </w:rPr>
      <w:instrText xml:space="preserve">-1</w:instrText>
    </w:r>
    <w:r>
      <w:rPr>
        <w:kern w:val="0"/>
      </w:rPr>
      <w:instrText xml:space="preserve"> </w:instrText>
    </w:r>
    <w:r>
      <w:rPr>
        <w:kern w:val="0"/>
      </w:rPr>
      <w:fldChar w:fldCharType="separate"/>
    </w:r>
    <w:r>
      <w:rPr>
        <w:kern w:val="0"/>
      </w:rPr>
      <w:t>4</w:t>
    </w:r>
    <w:r>
      <w:rPr>
        <w:kern w:val="0"/>
      </w:rPr>
      <w:fldChar w:fldCharType="end"/>
    </w:r>
    <w:r>
      <w:rPr>
        <w:rFonts w:hint="eastAsia"/>
        <w:kern w:val="0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jc w:val="both"/>
      <w:rPr>
        <w:sz w:val="21"/>
        <w:szCs w:val="21"/>
      </w:rPr>
    </w:pPr>
    <w:r>
      <w:rPr>
        <w:rFonts w:hint="eastAsia"/>
        <w:sz w:val="21"/>
        <w:szCs w:val="21"/>
      </w:rPr>
      <w:t xml:space="preserve"> T 2 </w:t>
    </w:r>
    <w:r>
      <w:rPr>
        <w:rFonts w:hint="eastAsia"/>
        <w:sz w:val="21"/>
        <w:szCs w:val="21"/>
        <w:lang w:val="en-US" w:eastAsia="zh-CN"/>
      </w:rPr>
      <w:t>/1000</w:t>
    </w:r>
    <w:r>
      <w:rPr>
        <w:rFonts w:hint="eastAsia"/>
        <w:sz w:val="21"/>
        <w:szCs w:val="21"/>
      </w:rPr>
      <w:t xml:space="preserve">                                                                   </w:t>
    </w:r>
    <w:r>
      <w:rPr>
        <w:rFonts w:hint="eastAsia"/>
        <w:sz w:val="21"/>
        <w:szCs w:val="21"/>
        <w:lang w:val="en-US" w:eastAsia="zh-CN"/>
      </w:rPr>
      <w:t>标准</w:t>
    </w:r>
    <w:r>
      <w:rPr>
        <w:rFonts w:hint="eastAsia"/>
        <w:sz w:val="21"/>
        <w:szCs w:val="21"/>
      </w:rPr>
      <w:t>技术协议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606"/>
    <w:multiLevelType w:val="multilevel"/>
    <w:tmpl w:val="366D3606"/>
    <w:lvl w:ilvl="0" w:tentative="0">
      <w:start w:val="1"/>
      <w:numFmt w:val="japaneseCounting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365"/>
        </w:tabs>
        <w:ind w:left="1365" w:hanging="945"/>
      </w:pPr>
      <w:rPr>
        <w:rFonts w:hint="eastAsia"/>
        <w:color w:val="auto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53C7E96"/>
    <w:multiLevelType w:val="multilevel"/>
    <w:tmpl w:val="653C7E96"/>
    <w:lvl w:ilvl="0" w:tentative="0">
      <w:start w:val="1"/>
      <w:numFmt w:val="decimal"/>
      <w:lvlText w:val="%1"/>
      <w:lvlJc w:val="left"/>
      <w:pPr>
        <w:tabs>
          <w:tab w:val="left" w:pos="482"/>
        </w:tabs>
        <w:ind w:left="482" w:hanging="482"/>
      </w:pPr>
      <w:rPr>
        <w:rFonts w:hint="eastAsia" w:ascii="宋体" w:eastAsia="宋体"/>
        <w:b/>
        <w:i w:val="0"/>
        <w:sz w:val="28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482"/>
        </w:tabs>
        <w:ind w:left="482" w:hanging="482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680"/>
        </w:tabs>
        <w:ind w:left="680" w:hanging="68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680"/>
        </w:tabs>
        <w:ind w:left="680" w:hanging="68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975"/>
        </w:tabs>
        <w:ind w:left="975" w:hanging="975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975"/>
        </w:tabs>
        <w:ind w:left="975" w:hanging="97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E0"/>
    <w:rsid w:val="00000AAC"/>
    <w:rsid w:val="0000213B"/>
    <w:rsid w:val="000060E9"/>
    <w:rsid w:val="00006419"/>
    <w:rsid w:val="0001016C"/>
    <w:rsid w:val="00015DC1"/>
    <w:rsid w:val="000229EC"/>
    <w:rsid w:val="00024A9B"/>
    <w:rsid w:val="00027132"/>
    <w:rsid w:val="00031C28"/>
    <w:rsid w:val="00044947"/>
    <w:rsid w:val="00045CF0"/>
    <w:rsid w:val="00046AC6"/>
    <w:rsid w:val="00051083"/>
    <w:rsid w:val="0006031E"/>
    <w:rsid w:val="00067169"/>
    <w:rsid w:val="00070E08"/>
    <w:rsid w:val="000823DF"/>
    <w:rsid w:val="000868D2"/>
    <w:rsid w:val="00087064"/>
    <w:rsid w:val="00092068"/>
    <w:rsid w:val="00096407"/>
    <w:rsid w:val="000A2D6E"/>
    <w:rsid w:val="000B217D"/>
    <w:rsid w:val="000B2247"/>
    <w:rsid w:val="000B2B89"/>
    <w:rsid w:val="000B367D"/>
    <w:rsid w:val="000B3A83"/>
    <w:rsid w:val="000B5A4F"/>
    <w:rsid w:val="000C4D9D"/>
    <w:rsid w:val="000C59A8"/>
    <w:rsid w:val="000C7863"/>
    <w:rsid w:val="000F32EF"/>
    <w:rsid w:val="000F4801"/>
    <w:rsid w:val="000F5D3D"/>
    <w:rsid w:val="000F6C56"/>
    <w:rsid w:val="00100936"/>
    <w:rsid w:val="001107C6"/>
    <w:rsid w:val="0012178F"/>
    <w:rsid w:val="00124CDD"/>
    <w:rsid w:val="00125DD9"/>
    <w:rsid w:val="00127989"/>
    <w:rsid w:val="00136688"/>
    <w:rsid w:val="00137698"/>
    <w:rsid w:val="001509D6"/>
    <w:rsid w:val="00150A56"/>
    <w:rsid w:val="0016035E"/>
    <w:rsid w:val="00160B8A"/>
    <w:rsid w:val="0016687D"/>
    <w:rsid w:val="0016764A"/>
    <w:rsid w:val="00170725"/>
    <w:rsid w:val="001715EA"/>
    <w:rsid w:val="001719FF"/>
    <w:rsid w:val="001A6525"/>
    <w:rsid w:val="001A673A"/>
    <w:rsid w:val="001B36FA"/>
    <w:rsid w:val="001C03EF"/>
    <w:rsid w:val="001C0E13"/>
    <w:rsid w:val="001C3D7E"/>
    <w:rsid w:val="001C3F05"/>
    <w:rsid w:val="001E69A6"/>
    <w:rsid w:val="001F0E6E"/>
    <w:rsid w:val="001F2206"/>
    <w:rsid w:val="001F4493"/>
    <w:rsid w:val="00201ABE"/>
    <w:rsid w:val="00201BB7"/>
    <w:rsid w:val="00203868"/>
    <w:rsid w:val="00206B1D"/>
    <w:rsid w:val="00207838"/>
    <w:rsid w:val="002148C5"/>
    <w:rsid w:val="00223FDB"/>
    <w:rsid w:val="00225D51"/>
    <w:rsid w:val="00232287"/>
    <w:rsid w:val="002331CB"/>
    <w:rsid w:val="00234FCF"/>
    <w:rsid w:val="00241E37"/>
    <w:rsid w:val="002452C1"/>
    <w:rsid w:val="0024594A"/>
    <w:rsid w:val="00255EF3"/>
    <w:rsid w:val="00263512"/>
    <w:rsid w:val="002650DA"/>
    <w:rsid w:val="002766E8"/>
    <w:rsid w:val="00283E61"/>
    <w:rsid w:val="00286F79"/>
    <w:rsid w:val="002911CF"/>
    <w:rsid w:val="002912EF"/>
    <w:rsid w:val="00291AC3"/>
    <w:rsid w:val="00291D94"/>
    <w:rsid w:val="00292458"/>
    <w:rsid w:val="002943A4"/>
    <w:rsid w:val="00294A7F"/>
    <w:rsid w:val="0029794C"/>
    <w:rsid w:val="002A1B54"/>
    <w:rsid w:val="002A5242"/>
    <w:rsid w:val="002A72F3"/>
    <w:rsid w:val="002C1BEF"/>
    <w:rsid w:val="002D2EE3"/>
    <w:rsid w:val="002D5794"/>
    <w:rsid w:val="002D691D"/>
    <w:rsid w:val="002D6EA0"/>
    <w:rsid w:val="002E2022"/>
    <w:rsid w:val="002E2B81"/>
    <w:rsid w:val="002E5647"/>
    <w:rsid w:val="002E6807"/>
    <w:rsid w:val="002E7120"/>
    <w:rsid w:val="002F4C10"/>
    <w:rsid w:val="002F6282"/>
    <w:rsid w:val="00302AF9"/>
    <w:rsid w:val="00306073"/>
    <w:rsid w:val="0030677B"/>
    <w:rsid w:val="00307F4C"/>
    <w:rsid w:val="00307FBF"/>
    <w:rsid w:val="003179B6"/>
    <w:rsid w:val="0033046C"/>
    <w:rsid w:val="0033081E"/>
    <w:rsid w:val="00330FB3"/>
    <w:rsid w:val="003328ED"/>
    <w:rsid w:val="0033765B"/>
    <w:rsid w:val="00337B76"/>
    <w:rsid w:val="0034185A"/>
    <w:rsid w:val="0034606F"/>
    <w:rsid w:val="00367912"/>
    <w:rsid w:val="00370BB1"/>
    <w:rsid w:val="00371514"/>
    <w:rsid w:val="0037304D"/>
    <w:rsid w:val="00380134"/>
    <w:rsid w:val="003818E3"/>
    <w:rsid w:val="0038270F"/>
    <w:rsid w:val="00382FFD"/>
    <w:rsid w:val="00385EC8"/>
    <w:rsid w:val="003903FB"/>
    <w:rsid w:val="003961B2"/>
    <w:rsid w:val="0039657C"/>
    <w:rsid w:val="003A4AF8"/>
    <w:rsid w:val="003A5691"/>
    <w:rsid w:val="003A6ABA"/>
    <w:rsid w:val="003B4321"/>
    <w:rsid w:val="003C32FE"/>
    <w:rsid w:val="003C3F68"/>
    <w:rsid w:val="003C637B"/>
    <w:rsid w:val="003D030C"/>
    <w:rsid w:val="003D0B98"/>
    <w:rsid w:val="003D12B7"/>
    <w:rsid w:val="003D45B4"/>
    <w:rsid w:val="003D576A"/>
    <w:rsid w:val="003D7E07"/>
    <w:rsid w:val="003E0820"/>
    <w:rsid w:val="003E6183"/>
    <w:rsid w:val="003F0C8B"/>
    <w:rsid w:val="003F32C5"/>
    <w:rsid w:val="003F4B62"/>
    <w:rsid w:val="003F5AAB"/>
    <w:rsid w:val="00410E6D"/>
    <w:rsid w:val="004157BB"/>
    <w:rsid w:val="00416837"/>
    <w:rsid w:val="004171C2"/>
    <w:rsid w:val="0042225D"/>
    <w:rsid w:val="004239EA"/>
    <w:rsid w:val="0042541D"/>
    <w:rsid w:val="0042594A"/>
    <w:rsid w:val="0043155F"/>
    <w:rsid w:val="00434404"/>
    <w:rsid w:val="00440ED8"/>
    <w:rsid w:val="00441063"/>
    <w:rsid w:val="00444B03"/>
    <w:rsid w:val="004500F5"/>
    <w:rsid w:val="00461107"/>
    <w:rsid w:val="00470A2D"/>
    <w:rsid w:val="0047373D"/>
    <w:rsid w:val="004774FA"/>
    <w:rsid w:val="00480EE1"/>
    <w:rsid w:val="004827E4"/>
    <w:rsid w:val="00485D9E"/>
    <w:rsid w:val="00486272"/>
    <w:rsid w:val="004940B6"/>
    <w:rsid w:val="0049736D"/>
    <w:rsid w:val="004A2A12"/>
    <w:rsid w:val="004A321B"/>
    <w:rsid w:val="004A3ED6"/>
    <w:rsid w:val="004A4CF1"/>
    <w:rsid w:val="004B129F"/>
    <w:rsid w:val="004B4DF2"/>
    <w:rsid w:val="004C070A"/>
    <w:rsid w:val="004D0829"/>
    <w:rsid w:val="004D1A0C"/>
    <w:rsid w:val="004D6AC7"/>
    <w:rsid w:val="004E30CE"/>
    <w:rsid w:val="004E3C45"/>
    <w:rsid w:val="004E59D5"/>
    <w:rsid w:val="004E7557"/>
    <w:rsid w:val="004F0C78"/>
    <w:rsid w:val="004F274D"/>
    <w:rsid w:val="004F402D"/>
    <w:rsid w:val="004F5ADE"/>
    <w:rsid w:val="004F6069"/>
    <w:rsid w:val="0050286D"/>
    <w:rsid w:val="00502C09"/>
    <w:rsid w:val="00503207"/>
    <w:rsid w:val="0050599C"/>
    <w:rsid w:val="00507D4B"/>
    <w:rsid w:val="00516887"/>
    <w:rsid w:val="00516D33"/>
    <w:rsid w:val="00522FBE"/>
    <w:rsid w:val="005247E4"/>
    <w:rsid w:val="00526CB8"/>
    <w:rsid w:val="0053341D"/>
    <w:rsid w:val="00534286"/>
    <w:rsid w:val="005343CF"/>
    <w:rsid w:val="00535295"/>
    <w:rsid w:val="00535D9E"/>
    <w:rsid w:val="0054219C"/>
    <w:rsid w:val="00547A60"/>
    <w:rsid w:val="0055304D"/>
    <w:rsid w:val="00553732"/>
    <w:rsid w:val="00554A93"/>
    <w:rsid w:val="005558F3"/>
    <w:rsid w:val="005718BC"/>
    <w:rsid w:val="00573EEB"/>
    <w:rsid w:val="005800DC"/>
    <w:rsid w:val="00580962"/>
    <w:rsid w:val="0059356A"/>
    <w:rsid w:val="005A4ABD"/>
    <w:rsid w:val="005B0220"/>
    <w:rsid w:val="005B14A1"/>
    <w:rsid w:val="005B2596"/>
    <w:rsid w:val="005B29F2"/>
    <w:rsid w:val="005B765C"/>
    <w:rsid w:val="005C01FF"/>
    <w:rsid w:val="005D084D"/>
    <w:rsid w:val="005D4CC0"/>
    <w:rsid w:val="005D7BC8"/>
    <w:rsid w:val="005E0C1D"/>
    <w:rsid w:val="005E17AF"/>
    <w:rsid w:val="005E189E"/>
    <w:rsid w:val="005F1DA4"/>
    <w:rsid w:val="005F2D08"/>
    <w:rsid w:val="005F4D1B"/>
    <w:rsid w:val="00610536"/>
    <w:rsid w:val="00625EB5"/>
    <w:rsid w:val="00630766"/>
    <w:rsid w:val="006346FA"/>
    <w:rsid w:val="00645D24"/>
    <w:rsid w:val="00653B55"/>
    <w:rsid w:val="00653BAE"/>
    <w:rsid w:val="0065498B"/>
    <w:rsid w:val="006549EC"/>
    <w:rsid w:val="00661402"/>
    <w:rsid w:val="00666D10"/>
    <w:rsid w:val="00667563"/>
    <w:rsid w:val="0067162B"/>
    <w:rsid w:val="00682D55"/>
    <w:rsid w:val="006835C5"/>
    <w:rsid w:val="00692E51"/>
    <w:rsid w:val="00696AFA"/>
    <w:rsid w:val="006A7742"/>
    <w:rsid w:val="006B2499"/>
    <w:rsid w:val="006B78EF"/>
    <w:rsid w:val="006C01F5"/>
    <w:rsid w:val="006C1963"/>
    <w:rsid w:val="006C2058"/>
    <w:rsid w:val="006D5A90"/>
    <w:rsid w:val="006D7225"/>
    <w:rsid w:val="006E0BBE"/>
    <w:rsid w:val="006F0550"/>
    <w:rsid w:val="006F1B4C"/>
    <w:rsid w:val="006F58AB"/>
    <w:rsid w:val="006F7714"/>
    <w:rsid w:val="006F793D"/>
    <w:rsid w:val="00703807"/>
    <w:rsid w:val="007038E8"/>
    <w:rsid w:val="007061C4"/>
    <w:rsid w:val="007162C2"/>
    <w:rsid w:val="00717CB9"/>
    <w:rsid w:val="00721177"/>
    <w:rsid w:val="007305C9"/>
    <w:rsid w:val="00734045"/>
    <w:rsid w:val="007348C1"/>
    <w:rsid w:val="00734F08"/>
    <w:rsid w:val="00737D90"/>
    <w:rsid w:val="0074357E"/>
    <w:rsid w:val="00751E68"/>
    <w:rsid w:val="00752C66"/>
    <w:rsid w:val="007547D5"/>
    <w:rsid w:val="00756774"/>
    <w:rsid w:val="00757894"/>
    <w:rsid w:val="00761A90"/>
    <w:rsid w:val="007702D2"/>
    <w:rsid w:val="00776E39"/>
    <w:rsid w:val="00780A8E"/>
    <w:rsid w:val="0078229B"/>
    <w:rsid w:val="00785F69"/>
    <w:rsid w:val="00786DE3"/>
    <w:rsid w:val="00787CF4"/>
    <w:rsid w:val="00791D61"/>
    <w:rsid w:val="007930A6"/>
    <w:rsid w:val="007A66A7"/>
    <w:rsid w:val="007B01B1"/>
    <w:rsid w:val="007B6302"/>
    <w:rsid w:val="007B78E1"/>
    <w:rsid w:val="007B7CE3"/>
    <w:rsid w:val="007C01E7"/>
    <w:rsid w:val="007C04E6"/>
    <w:rsid w:val="007C4FE6"/>
    <w:rsid w:val="007D6CFD"/>
    <w:rsid w:val="007E377E"/>
    <w:rsid w:val="007E6B9C"/>
    <w:rsid w:val="007E6E72"/>
    <w:rsid w:val="007E75D5"/>
    <w:rsid w:val="007F019E"/>
    <w:rsid w:val="007F1AE7"/>
    <w:rsid w:val="007F2840"/>
    <w:rsid w:val="007F45BC"/>
    <w:rsid w:val="00803EFC"/>
    <w:rsid w:val="0080449D"/>
    <w:rsid w:val="00812C0B"/>
    <w:rsid w:val="00814BC1"/>
    <w:rsid w:val="00814C42"/>
    <w:rsid w:val="0081744D"/>
    <w:rsid w:val="00826192"/>
    <w:rsid w:val="00830BF1"/>
    <w:rsid w:val="00830EE1"/>
    <w:rsid w:val="008337E4"/>
    <w:rsid w:val="00846561"/>
    <w:rsid w:val="00846637"/>
    <w:rsid w:val="00853C04"/>
    <w:rsid w:val="00853EE4"/>
    <w:rsid w:val="00863407"/>
    <w:rsid w:val="0086448D"/>
    <w:rsid w:val="00865F5D"/>
    <w:rsid w:val="00867A5E"/>
    <w:rsid w:val="00870C96"/>
    <w:rsid w:val="00871642"/>
    <w:rsid w:val="008732FA"/>
    <w:rsid w:val="008738DE"/>
    <w:rsid w:val="00873DB5"/>
    <w:rsid w:val="00876FA3"/>
    <w:rsid w:val="008811EB"/>
    <w:rsid w:val="00882847"/>
    <w:rsid w:val="00884C0D"/>
    <w:rsid w:val="00887EB8"/>
    <w:rsid w:val="0089219E"/>
    <w:rsid w:val="00894A40"/>
    <w:rsid w:val="008A035F"/>
    <w:rsid w:val="008A082F"/>
    <w:rsid w:val="008A21C4"/>
    <w:rsid w:val="008A5952"/>
    <w:rsid w:val="008A79A5"/>
    <w:rsid w:val="008A7F10"/>
    <w:rsid w:val="008B1BB8"/>
    <w:rsid w:val="008B3230"/>
    <w:rsid w:val="008B6C08"/>
    <w:rsid w:val="008B7013"/>
    <w:rsid w:val="008C12BA"/>
    <w:rsid w:val="008C7C62"/>
    <w:rsid w:val="008D020D"/>
    <w:rsid w:val="008D51B1"/>
    <w:rsid w:val="008E135F"/>
    <w:rsid w:val="008E5AB3"/>
    <w:rsid w:val="00901364"/>
    <w:rsid w:val="009031B2"/>
    <w:rsid w:val="00906544"/>
    <w:rsid w:val="00911FAB"/>
    <w:rsid w:val="00915737"/>
    <w:rsid w:val="0091612E"/>
    <w:rsid w:val="009161BA"/>
    <w:rsid w:val="00922974"/>
    <w:rsid w:val="00935C48"/>
    <w:rsid w:val="009372BA"/>
    <w:rsid w:val="00941396"/>
    <w:rsid w:val="00943616"/>
    <w:rsid w:val="00943796"/>
    <w:rsid w:val="00944994"/>
    <w:rsid w:val="00944E44"/>
    <w:rsid w:val="0095704D"/>
    <w:rsid w:val="0096176C"/>
    <w:rsid w:val="00965326"/>
    <w:rsid w:val="00965BDA"/>
    <w:rsid w:val="00970FD9"/>
    <w:rsid w:val="00971A31"/>
    <w:rsid w:val="00976CDD"/>
    <w:rsid w:val="00984144"/>
    <w:rsid w:val="00986598"/>
    <w:rsid w:val="00986846"/>
    <w:rsid w:val="00992023"/>
    <w:rsid w:val="00994E43"/>
    <w:rsid w:val="0099537B"/>
    <w:rsid w:val="009958E1"/>
    <w:rsid w:val="009976D1"/>
    <w:rsid w:val="009A1CAC"/>
    <w:rsid w:val="009A2C39"/>
    <w:rsid w:val="009A47E8"/>
    <w:rsid w:val="009B44FD"/>
    <w:rsid w:val="009B6C13"/>
    <w:rsid w:val="009D640A"/>
    <w:rsid w:val="009D7FE3"/>
    <w:rsid w:val="009E36B9"/>
    <w:rsid w:val="009F3EE5"/>
    <w:rsid w:val="00A00DD0"/>
    <w:rsid w:val="00A04D18"/>
    <w:rsid w:val="00A0610A"/>
    <w:rsid w:val="00A11888"/>
    <w:rsid w:val="00A17AE2"/>
    <w:rsid w:val="00A25F2B"/>
    <w:rsid w:val="00A26E61"/>
    <w:rsid w:val="00A43CF8"/>
    <w:rsid w:val="00A5476D"/>
    <w:rsid w:val="00A56CD3"/>
    <w:rsid w:val="00A61936"/>
    <w:rsid w:val="00A72E21"/>
    <w:rsid w:val="00A730D3"/>
    <w:rsid w:val="00A7342F"/>
    <w:rsid w:val="00A735AF"/>
    <w:rsid w:val="00A81B11"/>
    <w:rsid w:val="00A827EA"/>
    <w:rsid w:val="00A9172F"/>
    <w:rsid w:val="00AA2AF7"/>
    <w:rsid w:val="00AA50EF"/>
    <w:rsid w:val="00AA5AC7"/>
    <w:rsid w:val="00AB05B7"/>
    <w:rsid w:val="00AB144E"/>
    <w:rsid w:val="00AB6B59"/>
    <w:rsid w:val="00AC180A"/>
    <w:rsid w:val="00AC667B"/>
    <w:rsid w:val="00AD3161"/>
    <w:rsid w:val="00AD4894"/>
    <w:rsid w:val="00AD5493"/>
    <w:rsid w:val="00AE05C1"/>
    <w:rsid w:val="00AF2762"/>
    <w:rsid w:val="00AF2BE0"/>
    <w:rsid w:val="00AF4D12"/>
    <w:rsid w:val="00B03996"/>
    <w:rsid w:val="00B12256"/>
    <w:rsid w:val="00B461F2"/>
    <w:rsid w:val="00B47619"/>
    <w:rsid w:val="00B55B62"/>
    <w:rsid w:val="00B616F6"/>
    <w:rsid w:val="00B63A76"/>
    <w:rsid w:val="00B71B59"/>
    <w:rsid w:val="00B71EF8"/>
    <w:rsid w:val="00B73740"/>
    <w:rsid w:val="00B74E65"/>
    <w:rsid w:val="00B7665D"/>
    <w:rsid w:val="00B77FA5"/>
    <w:rsid w:val="00B86C82"/>
    <w:rsid w:val="00B901AE"/>
    <w:rsid w:val="00B94CBC"/>
    <w:rsid w:val="00B95C24"/>
    <w:rsid w:val="00BA02A7"/>
    <w:rsid w:val="00BA111D"/>
    <w:rsid w:val="00BA6385"/>
    <w:rsid w:val="00BA6DBB"/>
    <w:rsid w:val="00BA71CC"/>
    <w:rsid w:val="00BB1469"/>
    <w:rsid w:val="00BB6ED5"/>
    <w:rsid w:val="00BC20FB"/>
    <w:rsid w:val="00BC4C04"/>
    <w:rsid w:val="00BC6630"/>
    <w:rsid w:val="00BD0753"/>
    <w:rsid w:val="00BD0DA0"/>
    <w:rsid w:val="00BD0FC1"/>
    <w:rsid w:val="00BD3619"/>
    <w:rsid w:val="00BD7851"/>
    <w:rsid w:val="00BE371B"/>
    <w:rsid w:val="00BE48AF"/>
    <w:rsid w:val="00BE6ADD"/>
    <w:rsid w:val="00BF1A81"/>
    <w:rsid w:val="00BF37E4"/>
    <w:rsid w:val="00BF7CE0"/>
    <w:rsid w:val="00C018E7"/>
    <w:rsid w:val="00C041F3"/>
    <w:rsid w:val="00C0536A"/>
    <w:rsid w:val="00C06BE4"/>
    <w:rsid w:val="00C10700"/>
    <w:rsid w:val="00C10BD4"/>
    <w:rsid w:val="00C11C5D"/>
    <w:rsid w:val="00C120E8"/>
    <w:rsid w:val="00C12CEA"/>
    <w:rsid w:val="00C135BF"/>
    <w:rsid w:val="00C248D2"/>
    <w:rsid w:val="00C24910"/>
    <w:rsid w:val="00C277AD"/>
    <w:rsid w:val="00C40DE5"/>
    <w:rsid w:val="00C43ADA"/>
    <w:rsid w:val="00C60A28"/>
    <w:rsid w:val="00C61564"/>
    <w:rsid w:val="00C62445"/>
    <w:rsid w:val="00C7012D"/>
    <w:rsid w:val="00C705BF"/>
    <w:rsid w:val="00C7096C"/>
    <w:rsid w:val="00C775D9"/>
    <w:rsid w:val="00C82289"/>
    <w:rsid w:val="00C9004D"/>
    <w:rsid w:val="00C90E44"/>
    <w:rsid w:val="00C92A6D"/>
    <w:rsid w:val="00C966DB"/>
    <w:rsid w:val="00CB794F"/>
    <w:rsid w:val="00CC07EF"/>
    <w:rsid w:val="00CC1C0B"/>
    <w:rsid w:val="00CC29D7"/>
    <w:rsid w:val="00CC51A4"/>
    <w:rsid w:val="00CD0101"/>
    <w:rsid w:val="00CD1F79"/>
    <w:rsid w:val="00CD299A"/>
    <w:rsid w:val="00CD66C1"/>
    <w:rsid w:val="00CE0A42"/>
    <w:rsid w:val="00D0506F"/>
    <w:rsid w:val="00D10D63"/>
    <w:rsid w:val="00D11739"/>
    <w:rsid w:val="00D14315"/>
    <w:rsid w:val="00D165BC"/>
    <w:rsid w:val="00D22E7C"/>
    <w:rsid w:val="00D268B1"/>
    <w:rsid w:val="00D313A1"/>
    <w:rsid w:val="00D32CA3"/>
    <w:rsid w:val="00D347D6"/>
    <w:rsid w:val="00D377A4"/>
    <w:rsid w:val="00D46B8C"/>
    <w:rsid w:val="00D506E4"/>
    <w:rsid w:val="00D52215"/>
    <w:rsid w:val="00D53005"/>
    <w:rsid w:val="00D564E5"/>
    <w:rsid w:val="00D6397D"/>
    <w:rsid w:val="00D65C9D"/>
    <w:rsid w:val="00D747DF"/>
    <w:rsid w:val="00D7640C"/>
    <w:rsid w:val="00D80616"/>
    <w:rsid w:val="00D80B4A"/>
    <w:rsid w:val="00D83658"/>
    <w:rsid w:val="00D85F01"/>
    <w:rsid w:val="00D864D4"/>
    <w:rsid w:val="00D8750F"/>
    <w:rsid w:val="00D92263"/>
    <w:rsid w:val="00D942F2"/>
    <w:rsid w:val="00D95C09"/>
    <w:rsid w:val="00D96533"/>
    <w:rsid w:val="00DA73F5"/>
    <w:rsid w:val="00DB401E"/>
    <w:rsid w:val="00DB443E"/>
    <w:rsid w:val="00DC4BF7"/>
    <w:rsid w:val="00DD29D1"/>
    <w:rsid w:val="00DD5444"/>
    <w:rsid w:val="00DD5A83"/>
    <w:rsid w:val="00DD7446"/>
    <w:rsid w:val="00DF0267"/>
    <w:rsid w:val="00DF71EB"/>
    <w:rsid w:val="00E00318"/>
    <w:rsid w:val="00E02BDE"/>
    <w:rsid w:val="00E12798"/>
    <w:rsid w:val="00E220C3"/>
    <w:rsid w:val="00E23166"/>
    <w:rsid w:val="00E2507F"/>
    <w:rsid w:val="00E25D6D"/>
    <w:rsid w:val="00E265A9"/>
    <w:rsid w:val="00E27573"/>
    <w:rsid w:val="00E301FF"/>
    <w:rsid w:val="00E32370"/>
    <w:rsid w:val="00E33A22"/>
    <w:rsid w:val="00E40B69"/>
    <w:rsid w:val="00E418CE"/>
    <w:rsid w:val="00E425AF"/>
    <w:rsid w:val="00E44922"/>
    <w:rsid w:val="00E50C20"/>
    <w:rsid w:val="00E53236"/>
    <w:rsid w:val="00E56D9A"/>
    <w:rsid w:val="00E57B2D"/>
    <w:rsid w:val="00E6162F"/>
    <w:rsid w:val="00E63F71"/>
    <w:rsid w:val="00E70BB2"/>
    <w:rsid w:val="00E71344"/>
    <w:rsid w:val="00E80821"/>
    <w:rsid w:val="00E82BE5"/>
    <w:rsid w:val="00E8669A"/>
    <w:rsid w:val="00E91469"/>
    <w:rsid w:val="00E9244B"/>
    <w:rsid w:val="00E93516"/>
    <w:rsid w:val="00E958BA"/>
    <w:rsid w:val="00EA2E43"/>
    <w:rsid w:val="00EB7070"/>
    <w:rsid w:val="00EC1096"/>
    <w:rsid w:val="00ED34BC"/>
    <w:rsid w:val="00ED64F6"/>
    <w:rsid w:val="00EE0A8A"/>
    <w:rsid w:val="00EE3D9C"/>
    <w:rsid w:val="00EE612B"/>
    <w:rsid w:val="00EF39D4"/>
    <w:rsid w:val="00EF4102"/>
    <w:rsid w:val="00EF4978"/>
    <w:rsid w:val="00EF5C6C"/>
    <w:rsid w:val="00F035BE"/>
    <w:rsid w:val="00F03992"/>
    <w:rsid w:val="00F104DF"/>
    <w:rsid w:val="00F116CC"/>
    <w:rsid w:val="00F12075"/>
    <w:rsid w:val="00F143A6"/>
    <w:rsid w:val="00F14907"/>
    <w:rsid w:val="00F21A27"/>
    <w:rsid w:val="00F22AA5"/>
    <w:rsid w:val="00F27121"/>
    <w:rsid w:val="00F30A64"/>
    <w:rsid w:val="00F407F6"/>
    <w:rsid w:val="00F4231B"/>
    <w:rsid w:val="00F43364"/>
    <w:rsid w:val="00F43778"/>
    <w:rsid w:val="00F46BC1"/>
    <w:rsid w:val="00F51879"/>
    <w:rsid w:val="00F537C2"/>
    <w:rsid w:val="00F54871"/>
    <w:rsid w:val="00F57877"/>
    <w:rsid w:val="00F60E2E"/>
    <w:rsid w:val="00F646F3"/>
    <w:rsid w:val="00F64DA0"/>
    <w:rsid w:val="00F6631C"/>
    <w:rsid w:val="00F7405C"/>
    <w:rsid w:val="00F7424D"/>
    <w:rsid w:val="00F74893"/>
    <w:rsid w:val="00F75EE0"/>
    <w:rsid w:val="00F76683"/>
    <w:rsid w:val="00F873FA"/>
    <w:rsid w:val="00F93976"/>
    <w:rsid w:val="00F97F6C"/>
    <w:rsid w:val="00FA1F05"/>
    <w:rsid w:val="00FA2E4B"/>
    <w:rsid w:val="00FA34B6"/>
    <w:rsid w:val="00FB1F27"/>
    <w:rsid w:val="00FB2994"/>
    <w:rsid w:val="00FB2CE2"/>
    <w:rsid w:val="00FC0108"/>
    <w:rsid w:val="00FC137C"/>
    <w:rsid w:val="00FC1AF3"/>
    <w:rsid w:val="00FC3A76"/>
    <w:rsid w:val="00FD1093"/>
    <w:rsid w:val="00FD2FB0"/>
    <w:rsid w:val="00FD4A50"/>
    <w:rsid w:val="00FE0D87"/>
    <w:rsid w:val="00FE2049"/>
    <w:rsid w:val="00FE4C5C"/>
    <w:rsid w:val="00FE4C9B"/>
    <w:rsid w:val="00FE58EA"/>
    <w:rsid w:val="00FE5A28"/>
    <w:rsid w:val="00FE7E94"/>
    <w:rsid w:val="00FF2B1A"/>
    <w:rsid w:val="00FF31D4"/>
    <w:rsid w:val="00FF71DB"/>
    <w:rsid w:val="00FF7C27"/>
    <w:rsid w:val="0CA818E9"/>
    <w:rsid w:val="232845F9"/>
    <w:rsid w:val="49311105"/>
    <w:rsid w:val="6FD60423"/>
    <w:rsid w:val="78B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qFormat/>
    <w:uiPriority w:val="0"/>
    <w:pPr>
      <w:keepNext/>
      <w:keepLines/>
      <w:numPr>
        <w:ilvl w:val="1"/>
        <w:numId w:val="1"/>
      </w:numPr>
      <w:tabs>
        <w:tab w:val="left" w:pos="567"/>
        <w:tab w:val="clear" w:pos="482"/>
      </w:tabs>
      <w:spacing w:line="400" w:lineRule="atLeast"/>
      <w:ind w:left="0" w:firstLine="0"/>
      <w:outlineLvl w:val="1"/>
    </w:pPr>
    <w:rPr>
      <w:b/>
      <w:szCs w:val="20"/>
    </w:rPr>
  </w:style>
  <w:style w:type="paragraph" w:styleId="4">
    <w:name w:val="heading 3"/>
    <w:basedOn w:val="1"/>
    <w:next w:val="3"/>
    <w:qFormat/>
    <w:uiPriority w:val="0"/>
    <w:pPr>
      <w:keepNext/>
      <w:keepLines/>
      <w:numPr>
        <w:ilvl w:val="2"/>
        <w:numId w:val="1"/>
      </w:numPr>
      <w:tabs>
        <w:tab w:val="left" w:pos="709"/>
        <w:tab w:val="clear" w:pos="680"/>
      </w:tabs>
      <w:spacing w:line="400" w:lineRule="atLeast"/>
      <w:ind w:left="0" w:firstLine="0"/>
      <w:outlineLvl w:val="2"/>
    </w:pPr>
    <w:rPr>
      <w:szCs w:val="20"/>
    </w:rPr>
  </w:style>
  <w:style w:type="paragraph" w:styleId="5">
    <w:name w:val="heading 4"/>
    <w:basedOn w:val="1"/>
    <w:next w:val="3"/>
    <w:qFormat/>
    <w:uiPriority w:val="0"/>
    <w:pPr>
      <w:keepNext/>
      <w:keepLines/>
      <w:numPr>
        <w:ilvl w:val="3"/>
        <w:numId w:val="1"/>
      </w:numPr>
      <w:tabs>
        <w:tab w:val="left" w:pos="907"/>
        <w:tab w:val="clear" w:pos="680"/>
      </w:tabs>
      <w:spacing w:line="400" w:lineRule="atLeast"/>
      <w:ind w:left="0" w:firstLine="0"/>
      <w:outlineLvl w:val="3"/>
    </w:pPr>
    <w:rPr>
      <w:szCs w:val="20"/>
    </w:rPr>
  </w:style>
  <w:style w:type="paragraph" w:styleId="6">
    <w:name w:val="heading 9"/>
    <w:basedOn w:val="1"/>
    <w:next w:val="3"/>
    <w:qFormat/>
    <w:uiPriority w:val="0"/>
    <w:pPr>
      <w:keepNext/>
      <w:jc w:val="center"/>
      <w:outlineLvl w:val="8"/>
    </w:pPr>
    <w:rPr>
      <w:sz w:val="28"/>
      <w:szCs w:val="20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7">
    <w:name w:val="Body Text Indent"/>
    <w:basedOn w:val="1"/>
    <w:uiPriority w:val="0"/>
    <w:pPr>
      <w:snapToGrid w:val="0"/>
      <w:spacing w:line="440" w:lineRule="exact"/>
      <w:ind w:firstLine="552"/>
    </w:pPr>
    <w:rPr>
      <w:sz w:val="28"/>
    </w:rPr>
  </w:style>
  <w:style w:type="paragraph" w:styleId="8">
    <w:name w:val="Date"/>
    <w:basedOn w:val="1"/>
    <w:next w:val="1"/>
    <w:qFormat/>
    <w:uiPriority w:val="0"/>
    <w:rPr>
      <w:sz w:val="30"/>
      <w:szCs w:val="20"/>
    </w:rPr>
  </w:style>
  <w:style w:type="paragraph" w:styleId="9">
    <w:name w:val="Balloon Text"/>
    <w:basedOn w:val="1"/>
    <w:link w:val="22"/>
    <w:uiPriority w:val="0"/>
    <w:rPr>
      <w:sz w:val="18"/>
      <w:szCs w:val="18"/>
    </w:rPr>
  </w:style>
  <w:style w:type="paragraph" w:styleId="10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4">
    <w:name w:val="Table Grid"/>
    <w:basedOn w:val="13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6">
    <w:name w:val="page number"/>
    <w:basedOn w:val="15"/>
    <w:qFormat/>
    <w:uiPriority w:val="0"/>
  </w:style>
  <w:style w:type="paragraph" w:customStyle="1" w:styleId="17">
    <w:name w:val="Char Char Char Char Char Char Char"/>
    <w:basedOn w:val="1"/>
    <w:uiPriority w:val="0"/>
    <w:rPr>
      <w:rFonts w:ascii="Tahoma" w:hAnsi="Tahoma"/>
      <w:sz w:val="24"/>
    </w:rPr>
  </w:style>
  <w:style w:type="character" w:customStyle="1" w:styleId="18">
    <w:name w:val="标题 字符"/>
    <w:link w:val="12"/>
    <w:qFormat/>
    <w:uiPriority w:val="0"/>
    <w:rPr>
      <w:rFonts w:ascii="Cambria" w:hAnsi="Cambria"/>
      <w:b/>
      <w:bCs/>
      <w:kern w:val="2"/>
      <w:sz w:val="32"/>
      <w:szCs w:val="32"/>
    </w:rPr>
  </w:style>
  <w:style w:type="paragraph" w:customStyle="1" w:styleId="19">
    <w:name w:val="样式1"/>
    <w:basedOn w:val="10"/>
    <w:link w:val="21"/>
    <w:qFormat/>
    <w:uiPriority w:val="0"/>
    <w:pPr>
      <w:pBdr>
        <w:top w:val="thinThickSmallGap" w:color="auto" w:sz="18" w:space="1"/>
      </w:pBdr>
      <w:ind w:right="4"/>
    </w:pPr>
    <w:rPr>
      <w:sz w:val="21"/>
      <w:szCs w:val="21"/>
    </w:rPr>
  </w:style>
  <w:style w:type="character" w:customStyle="1" w:styleId="20">
    <w:name w:val="页脚 字符"/>
    <w:link w:val="10"/>
    <w:uiPriority w:val="0"/>
    <w:rPr>
      <w:kern w:val="2"/>
      <w:sz w:val="18"/>
      <w:szCs w:val="18"/>
    </w:rPr>
  </w:style>
  <w:style w:type="character" w:customStyle="1" w:styleId="21">
    <w:name w:val="样式1 Char"/>
    <w:link w:val="19"/>
    <w:uiPriority w:val="0"/>
    <w:rPr>
      <w:kern w:val="2"/>
      <w:sz w:val="21"/>
      <w:szCs w:val="21"/>
    </w:rPr>
  </w:style>
  <w:style w:type="character" w:customStyle="1" w:styleId="22">
    <w:name w:val="批注框文本 字符"/>
    <w:link w:val="9"/>
    <w:qFormat/>
    <w:uiPriority w:val="0"/>
    <w:rPr>
      <w:kern w:val="2"/>
      <w:sz w:val="18"/>
      <w:szCs w:val="18"/>
    </w:rPr>
  </w:style>
  <w:style w:type="paragraph" w:customStyle="1" w:styleId="23">
    <w:name w:val="样式2"/>
    <w:basedOn w:val="1"/>
    <w:link w:val="25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</w:style>
  <w:style w:type="paragraph" w:customStyle="1" w:styleId="24">
    <w:name w:val="样式3"/>
    <w:basedOn w:val="1"/>
    <w:link w:val="26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</w:style>
  <w:style w:type="character" w:customStyle="1" w:styleId="25">
    <w:name w:val="样式2 Char"/>
    <w:link w:val="23"/>
    <w:qFormat/>
    <w:uiPriority w:val="0"/>
    <w:rPr>
      <w:kern w:val="2"/>
      <w:sz w:val="21"/>
      <w:szCs w:val="24"/>
    </w:rPr>
  </w:style>
  <w:style w:type="character" w:customStyle="1" w:styleId="26">
    <w:name w:val="样式3 Char"/>
    <w:link w:val="24"/>
    <w:qFormat/>
    <w:uiPriority w:val="0"/>
    <w:rPr>
      <w:kern w:val="2"/>
      <w:sz w:val="21"/>
      <w:szCs w:val="24"/>
    </w:rPr>
  </w:style>
  <w:style w:type="paragraph" w:customStyle="1" w:styleId="27">
    <w:name w:val="样式4"/>
    <w:basedOn w:val="1"/>
    <w:link w:val="28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</w:pPr>
  </w:style>
  <w:style w:type="character" w:customStyle="1" w:styleId="28">
    <w:name w:val="样式4 Char"/>
    <w:link w:val="27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BEB2F1-544C-4625-9DAE-1CD3620F8A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400</Words>
  <Characters>2284</Characters>
  <Lines>19</Lines>
  <Paragraphs>5</Paragraphs>
  <TotalTime>0</TotalTime>
  <ScaleCrop>false</ScaleCrop>
  <LinksUpToDate>false</LinksUpToDate>
  <CharactersWithSpaces>2679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2017-08-28T08:58:00Z</dcterms:created>
  <dc:creator>DELL</dc:creator>
  <cp:lastModifiedBy>DELL</cp:lastModifiedBy>
  <cp:lastPrinted>2014-12-09T05:09:00Z</cp:lastPrinted>
  <dcterms:modified xsi:type="dcterms:W3CDTF">2020-11-11T05:38:22Z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文件标识">
    <vt:lpwstr>技术协议</vt:lpwstr>
  </property>
  <property fmtid="{D5CDD505-2E9C-101B-9397-08002B2CF9AE}" pid="3" name="协议编号">
    <vt:lpwstr>00</vt:lpwstr>
  </property>
  <property fmtid="{D5CDD505-2E9C-101B-9397-08002B2CF9AE}" pid="4" name="机床名称">
    <vt:lpwstr>数控车床</vt:lpwstr>
  </property>
  <property fmtid="{D5CDD505-2E9C-101B-9397-08002B2CF9AE}" pid="5" name="机床型号">
    <vt:lpwstr>Viva Turn 2</vt:lpwstr>
  </property>
  <property fmtid="{D5CDD505-2E9C-101B-9397-08002B2CF9AE}" pid="6" name="机床规格">
    <vt:lpwstr>280×500</vt:lpwstr>
  </property>
  <property fmtid="{D5CDD505-2E9C-101B-9397-08002B2CF9AE}" pid="7" name="零件名称">
    <vt:lpwstr>无零件</vt:lpwstr>
  </property>
  <property fmtid="{D5CDD505-2E9C-101B-9397-08002B2CF9AE}" pid="8" name="签署日期">
    <vt:lpwstr>2016-6-13</vt:lpwstr>
  </property>
  <property fmtid="{D5CDD505-2E9C-101B-9397-08002B2CF9AE}" pid="9" name="作者">
    <vt:lpwstr>齐飘</vt:lpwstr>
  </property>
  <property fmtid="{D5CDD505-2E9C-101B-9397-08002B2CF9AE}" pid="10" name="机械检查">
    <vt:lpwstr>赵一平</vt:lpwstr>
  </property>
  <property fmtid="{D5CDD505-2E9C-101B-9397-08002B2CF9AE}" pid="11" name="电气检查">
    <vt:lpwstr>谢龙</vt:lpwstr>
  </property>
  <property fmtid="{D5CDD505-2E9C-101B-9397-08002B2CF9AE}" pid="12" name="订购厂家">
    <vt:lpwstr>沈阳机床股份有限公司</vt:lpwstr>
  </property>
  <property fmtid="{D5CDD505-2E9C-101B-9397-08002B2CF9AE}" pid="13" name="单位">
    <vt:lpwstr>小普及型</vt:lpwstr>
  </property>
  <property fmtid="{D5CDD505-2E9C-101B-9397-08002B2CF9AE}" pid="14" name="KSOProductBuildVer">
    <vt:lpwstr>2052-11.1.0.10132</vt:lpwstr>
  </property>
</Properties>
</file>