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 T2/500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甲方：</w:t>
      </w:r>
      <w:r>
        <w:rPr>
          <w:rFonts w:ascii="宋体" w:hAnsi="宋体"/>
          <w:sz w:val="36"/>
          <w:szCs w:val="36"/>
        </w:rPr>
        <w:t xml:space="preserve">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                                       乙方：沈阳希斯工业服务有限公司</w:t>
      </w:r>
    </w:p>
    <w:p>
      <w:pPr>
        <w:snapToGrid w:val="0"/>
        <w:spacing w:line="38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公司（以下简称：甲方）订购沈阳希斯工业服务有限公司（以下简称：乙方）生产的</w:t>
      </w:r>
      <w:r>
        <w:rPr>
          <w:rFonts w:ascii="宋体" w:hAnsi="宋体"/>
          <w:sz w:val="24"/>
        </w:rPr>
        <w:t>T2/500</w:t>
      </w:r>
      <w:r>
        <w:rPr>
          <w:rFonts w:hint="eastAsia" w:ascii="宋体" w:hAnsi="宋体"/>
          <w:sz w:val="24"/>
        </w:rPr>
        <w:t xml:space="preserve">数控车床 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/>
                <w:szCs w:val="21"/>
              </w:rPr>
              <w:t>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/177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广数</w:t>
            </w:r>
            <w:r>
              <w:rPr>
                <w:rFonts w:hint="eastAsia" w:ascii="宋体" w:hAnsi="宋体"/>
                <w:szCs w:val="21"/>
              </w:rPr>
              <w:t>988TA1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宋体" w:hAnsi="宋体" w:eastAsia="宋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4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莫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2750×1860×1900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1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20"/>
        <w:gridCol w:w="1543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数控系统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GSK988TA1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电 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130SJT-MZ100D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φ32×12-1042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35规格滚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柱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液压尾座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 w:colFirst="0" w:colLast="3"/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8寸中空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bookmarkEnd w:id="0"/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工位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伺服</w:t>
            </w:r>
            <w:r>
              <w:rPr>
                <w:rFonts w:hint="eastAsia" w:ascii="宋体" w:hAnsi="宋体"/>
                <w:szCs w:val="21"/>
              </w:rPr>
              <w:t>刀架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金刚芯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三</w:t>
      </w:r>
      <w:r>
        <w:rPr>
          <w:rFonts w:hint="eastAsia" w:ascii="宋体" w:hAnsi="宋体"/>
          <w:b/>
          <w:sz w:val="24"/>
        </w:rPr>
        <w:t>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排屑装置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含小车</w:t>
            </w: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四</w:t>
      </w:r>
      <w:r>
        <w:rPr>
          <w:rFonts w:hint="eastAsia" w:ascii="宋体" w:hAnsi="宋体"/>
          <w:b/>
          <w:sz w:val="24"/>
        </w:rPr>
        <w:t>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广州数控系统文件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一套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五</w:t>
      </w:r>
      <w:r>
        <w:rPr>
          <w:rFonts w:hint="eastAsia" w:ascii="宋体" w:hAnsi="宋体"/>
          <w:b/>
          <w:sz w:val="24"/>
        </w:rPr>
        <w:t>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六</w:t>
      </w:r>
      <w:r>
        <w:rPr>
          <w:rFonts w:hint="eastAsia" w:ascii="宋体" w:hAnsi="宋体"/>
          <w:b/>
          <w:sz w:val="24"/>
        </w:rPr>
        <w:t>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七</w:t>
      </w:r>
      <w:r>
        <w:rPr>
          <w:rFonts w:hint="eastAsia" w:ascii="宋体" w:hAnsi="宋体"/>
          <w:b/>
          <w:sz w:val="24"/>
        </w:rPr>
        <w:t>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八</w:t>
      </w:r>
      <w:r>
        <w:rPr>
          <w:rFonts w:hint="eastAsia" w:ascii="宋体" w:hAnsi="宋体"/>
          <w:b/>
          <w:sz w:val="24"/>
        </w:rPr>
        <w:t>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九</w:t>
      </w:r>
      <w:r>
        <w:rPr>
          <w:rFonts w:hint="eastAsia" w:ascii="宋体" w:hAnsi="宋体"/>
          <w:b/>
          <w:sz w:val="24"/>
        </w:rPr>
        <w:t>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</w:rPr>
        <w:t xml:space="preserve">                         </w:t>
      </w:r>
      <w:r>
        <w:rPr>
          <w:rFonts w:hint="eastAsia" w:ascii="宋体" w:hAnsi="宋体"/>
          <w:b/>
          <w:color w:val="000000"/>
          <w:sz w:val="24"/>
        </w:rPr>
        <w:t xml:space="preserve">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T 2 </w:t>
    </w:r>
    <w:r>
      <w:rPr>
        <w:rFonts w:hint="eastAsia"/>
        <w:sz w:val="21"/>
        <w:szCs w:val="21"/>
        <w:lang w:val="en-US" w:eastAsia="zh-CN"/>
      </w:rPr>
      <w:t>/500</w:t>
    </w:r>
    <w:r>
      <w:rPr>
        <w:rFonts w:hint="eastAsia"/>
        <w:sz w:val="21"/>
        <w:szCs w:val="21"/>
      </w:rPr>
      <w:t xml:space="preserve">                        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  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1016C"/>
    <w:rsid w:val="00015DC1"/>
    <w:rsid w:val="000229EC"/>
    <w:rsid w:val="00024A9B"/>
    <w:rsid w:val="00027132"/>
    <w:rsid w:val="00031C28"/>
    <w:rsid w:val="00044947"/>
    <w:rsid w:val="00045CF0"/>
    <w:rsid w:val="00046AC6"/>
    <w:rsid w:val="00051083"/>
    <w:rsid w:val="0006031E"/>
    <w:rsid w:val="00067169"/>
    <w:rsid w:val="00070E08"/>
    <w:rsid w:val="000823DF"/>
    <w:rsid w:val="000868D2"/>
    <w:rsid w:val="00087064"/>
    <w:rsid w:val="00092068"/>
    <w:rsid w:val="00096407"/>
    <w:rsid w:val="000A2D6E"/>
    <w:rsid w:val="000B217D"/>
    <w:rsid w:val="000B2247"/>
    <w:rsid w:val="000B2B89"/>
    <w:rsid w:val="000B367D"/>
    <w:rsid w:val="000B3A83"/>
    <w:rsid w:val="000B5A4F"/>
    <w:rsid w:val="000C4D9D"/>
    <w:rsid w:val="000C59A8"/>
    <w:rsid w:val="000C7863"/>
    <w:rsid w:val="000F32EF"/>
    <w:rsid w:val="000F4801"/>
    <w:rsid w:val="000F5D3D"/>
    <w:rsid w:val="000F6C56"/>
    <w:rsid w:val="00100936"/>
    <w:rsid w:val="0012178F"/>
    <w:rsid w:val="001218F7"/>
    <w:rsid w:val="00124CDD"/>
    <w:rsid w:val="00125DD9"/>
    <w:rsid w:val="00127989"/>
    <w:rsid w:val="00136688"/>
    <w:rsid w:val="00137698"/>
    <w:rsid w:val="001509D6"/>
    <w:rsid w:val="00150A56"/>
    <w:rsid w:val="0016035E"/>
    <w:rsid w:val="0016687D"/>
    <w:rsid w:val="0016764A"/>
    <w:rsid w:val="00170725"/>
    <w:rsid w:val="001715EA"/>
    <w:rsid w:val="001719FF"/>
    <w:rsid w:val="001753E7"/>
    <w:rsid w:val="001A6525"/>
    <w:rsid w:val="001A673A"/>
    <w:rsid w:val="001B36FA"/>
    <w:rsid w:val="001C03EF"/>
    <w:rsid w:val="001C0E13"/>
    <w:rsid w:val="001C3D7E"/>
    <w:rsid w:val="001C3F05"/>
    <w:rsid w:val="001E69A6"/>
    <w:rsid w:val="001F0E6E"/>
    <w:rsid w:val="001F2206"/>
    <w:rsid w:val="001F4493"/>
    <w:rsid w:val="001F7659"/>
    <w:rsid w:val="00201ABE"/>
    <w:rsid w:val="00201BB7"/>
    <w:rsid w:val="00203868"/>
    <w:rsid w:val="00206B1D"/>
    <w:rsid w:val="00207838"/>
    <w:rsid w:val="002148C5"/>
    <w:rsid w:val="00215778"/>
    <w:rsid w:val="00223FDB"/>
    <w:rsid w:val="00225D51"/>
    <w:rsid w:val="00232287"/>
    <w:rsid w:val="002331CB"/>
    <w:rsid w:val="00234FCF"/>
    <w:rsid w:val="00241E37"/>
    <w:rsid w:val="002452C1"/>
    <w:rsid w:val="0024594A"/>
    <w:rsid w:val="00255EF3"/>
    <w:rsid w:val="00263512"/>
    <w:rsid w:val="002650DA"/>
    <w:rsid w:val="002766E8"/>
    <w:rsid w:val="00282BFA"/>
    <w:rsid w:val="00283E61"/>
    <w:rsid w:val="00286F79"/>
    <w:rsid w:val="002911CF"/>
    <w:rsid w:val="002912EF"/>
    <w:rsid w:val="00291AC3"/>
    <w:rsid w:val="00291D94"/>
    <w:rsid w:val="00292458"/>
    <w:rsid w:val="002943A4"/>
    <w:rsid w:val="00294A7F"/>
    <w:rsid w:val="0029794C"/>
    <w:rsid w:val="002A0E32"/>
    <w:rsid w:val="002A5242"/>
    <w:rsid w:val="002A72F3"/>
    <w:rsid w:val="002C1BEF"/>
    <w:rsid w:val="002D2EE3"/>
    <w:rsid w:val="002D5794"/>
    <w:rsid w:val="002D691D"/>
    <w:rsid w:val="002D6EA0"/>
    <w:rsid w:val="002E2022"/>
    <w:rsid w:val="002E2B81"/>
    <w:rsid w:val="002E5647"/>
    <w:rsid w:val="002E6807"/>
    <w:rsid w:val="002E7120"/>
    <w:rsid w:val="002F4C10"/>
    <w:rsid w:val="002F6282"/>
    <w:rsid w:val="00302AF9"/>
    <w:rsid w:val="00306073"/>
    <w:rsid w:val="0030677B"/>
    <w:rsid w:val="00307F4C"/>
    <w:rsid w:val="00307FBF"/>
    <w:rsid w:val="003179B6"/>
    <w:rsid w:val="00321DCF"/>
    <w:rsid w:val="0033046C"/>
    <w:rsid w:val="0033081E"/>
    <w:rsid w:val="00330FB3"/>
    <w:rsid w:val="003328ED"/>
    <w:rsid w:val="0033765B"/>
    <w:rsid w:val="00337B76"/>
    <w:rsid w:val="0034185A"/>
    <w:rsid w:val="0034606F"/>
    <w:rsid w:val="00367912"/>
    <w:rsid w:val="00370BB1"/>
    <w:rsid w:val="00371514"/>
    <w:rsid w:val="0037304D"/>
    <w:rsid w:val="00380134"/>
    <w:rsid w:val="003818E3"/>
    <w:rsid w:val="0038270F"/>
    <w:rsid w:val="00382FFD"/>
    <w:rsid w:val="00385EC8"/>
    <w:rsid w:val="003903FB"/>
    <w:rsid w:val="003954A0"/>
    <w:rsid w:val="003961B2"/>
    <w:rsid w:val="0039657C"/>
    <w:rsid w:val="003A4AF8"/>
    <w:rsid w:val="003A5691"/>
    <w:rsid w:val="003A6ABA"/>
    <w:rsid w:val="003B02CA"/>
    <w:rsid w:val="003B4321"/>
    <w:rsid w:val="003C32FE"/>
    <w:rsid w:val="003C3F68"/>
    <w:rsid w:val="003C637B"/>
    <w:rsid w:val="003D030C"/>
    <w:rsid w:val="003D0B98"/>
    <w:rsid w:val="003D12B7"/>
    <w:rsid w:val="003D45B4"/>
    <w:rsid w:val="003D576A"/>
    <w:rsid w:val="003D7E07"/>
    <w:rsid w:val="003E0820"/>
    <w:rsid w:val="003F32C5"/>
    <w:rsid w:val="003F39CA"/>
    <w:rsid w:val="003F5AAB"/>
    <w:rsid w:val="00402286"/>
    <w:rsid w:val="00410E6D"/>
    <w:rsid w:val="004157BB"/>
    <w:rsid w:val="00416837"/>
    <w:rsid w:val="0042225D"/>
    <w:rsid w:val="004239EA"/>
    <w:rsid w:val="0042541D"/>
    <w:rsid w:val="0042594A"/>
    <w:rsid w:val="0043155F"/>
    <w:rsid w:val="00434404"/>
    <w:rsid w:val="00440ED8"/>
    <w:rsid w:val="00441063"/>
    <w:rsid w:val="00444B03"/>
    <w:rsid w:val="004500F5"/>
    <w:rsid w:val="00461107"/>
    <w:rsid w:val="00470A2D"/>
    <w:rsid w:val="0047373D"/>
    <w:rsid w:val="004774FA"/>
    <w:rsid w:val="00480EE1"/>
    <w:rsid w:val="004827E4"/>
    <w:rsid w:val="00485D9E"/>
    <w:rsid w:val="00486272"/>
    <w:rsid w:val="004940B6"/>
    <w:rsid w:val="0049736D"/>
    <w:rsid w:val="004A2A12"/>
    <w:rsid w:val="004A321B"/>
    <w:rsid w:val="004A3ED6"/>
    <w:rsid w:val="004A4CF1"/>
    <w:rsid w:val="004B4DF2"/>
    <w:rsid w:val="004C070A"/>
    <w:rsid w:val="004D0829"/>
    <w:rsid w:val="004D1A0C"/>
    <w:rsid w:val="004D2C6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2C09"/>
    <w:rsid w:val="00503207"/>
    <w:rsid w:val="0050599C"/>
    <w:rsid w:val="00507D4B"/>
    <w:rsid w:val="00516887"/>
    <w:rsid w:val="00516D33"/>
    <w:rsid w:val="00522FBE"/>
    <w:rsid w:val="005247E4"/>
    <w:rsid w:val="00526CB8"/>
    <w:rsid w:val="0053341D"/>
    <w:rsid w:val="00534286"/>
    <w:rsid w:val="005343CF"/>
    <w:rsid w:val="00535295"/>
    <w:rsid w:val="00535D9E"/>
    <w:rsid w:val="0054219C"/>
    <w:rsid w:val="00547A60"/>
    <w:rsid w:val="0055304D"/>
    <w:rsid w:val="00553732"/>
    <w:rsid w:val="00554A93"/>
    <w:rsid w:val="005558F3"/>
    <w:rsid w:val="005718BC"/>
    <w:rsid w:val="00573EEB"/>
    <w:rsid w:val="005800DC"/>
    <w:rsid w:val="00580962"/>
    <w:rsid w:val="0059356A"/>
    <w:rsid w:val="005A4ABD"/>
    <w:rsid w:val="005B0220"/>
    <w:rsid w:val="005B14A1"/>
    <w:rsid w:val="005B2596"/>
    <w:rsid w:val="005B29F2"/>
    <w:rsid w:val="005B765C"/>
    <w:rsid w:val="005C01FF"/>
    <w:rsid w:val="005D084D"/>
    <w:rsid w:val="005D4CC0"/>
    <w:rsid w:val="005D7BC8"/>
    <w:rsid w:val="005E17AF"/>
    <w:rsid w:val="005E189E"/>
    <w:rsid w:val="005F1DA4"/>
    <w:rsid w:val="005F2D08"/>
    <w:rsid w:val="005F4D1B"/>
    <w:rsid w:val="00610536"/>
    <w:rsid w:val="00625EB5"/>
    <w:rsid w:val="00630766"/>
    <w:rsid w:val="006346FA"/>
    <w:rsid w:val="00645D24"/>
    <w:rsid w:val="00653B55"/>
    <w:rsid w:val="00653BAE"/>
    <w:rsid w:val="0065498B"/>
    <w:rsid w:val="006549EC"/>
    <w:rsid w:val="00661402"/>
    <w:rsid w:val="00666D10"/>
    <w:rsid w:val="00667563"/>
    <w:rsid w:val="0067162B"/>
    <w:rsid w:val="00682D55"/>
    <w:rsid w:val="006835C5"/>
    <w:rsid w:val="00692E51"/>
    <w:rsid w:val="00695099"/>
    <w:rsid w:val="00696AFA"/>
    <w:rsid w:val="006A7742"/>
    <w:rsid w:val="006B2499"/>
    <w:rsid w:val="006B78EF"/>
    <w:rsid w:val="006C01F5"/>
    <w:rsid w:val="006C1963"/>
    <w:rsid w:val="006C2058"/>
    <w:rsid w:val="006D5A90"/>
    <w:rsid w:val="006D7225"/>
    <w:rsid w:val="006E0BBE"/>
    <w:rsid w:val="006E7BFB"/>
    <w:rsid w:val="006F0550"/>
    <w:rsid w:val="006F1B4C"/>
    <w:rsid w:val="006F7714"/>
    <w:rsid w:val="006F793D"/>
    <w:rsid w:val="00703807"/>
    <w:rsid w:val="007038E8"/>
    <w:rsid w:val="007061C4"/>
    <w:rsid w:val="007162C2"/>
    <w:rsid w:val="00717CB9"/>
    <w:rsid w:val="00721177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56774"/>
    <w:rsid w:val="00761A90"/>
    <w:rsid w:val="007702D2"/>
    <w:rsid w:val="00776E39"/>
    <w:rsid w:val="00780A8E"/>
    <w:rsid w:val="0078229B"/>
    <w:rsid w:val="00785F69"/>
    <w:rsid w:val="00786DE3"/>
    <w:rsid w:val="00787CF4"/>
    <w:rsid w:val="00791D61"/>
    <w:rsid w:val="007930A6"/>
    <w:rsid w:val="007A66A7"/>
    <w:rsid w:val="007B01B1"/>
    <w:rsid w:val="007B6302"/>
    <w:rsid w:val="007B78E1"/>
    <w:rsid w:val="007B7CE3"/>
    <w:rsid w:val="007C01E7"/>
    <w:rsid w:val="007C04E6"/>
    <w:rsid w:val="007C4FE6"/>
    <w:rsid w:val="007D6CFD"/>
    <w:rsid w:val="007E377E"/>
    <w:rsid w:val="007E6B9C"/>
    <w:rsid w:val="007E6E72"/>
    <w:rsid w:val="007E75D5"/>
    <w:rsid w:val="007F019E"/>
    <w:rsid w:val="007F1AE7"/>
    <w:rsid w:val="007F2840"/>
    <w:rsid w:val="00803EFC"/>
    <w:rsid w:val="0080449D"/>
    <w:rsid w:val="00812C0B"/>
    <w:rsid w:val="00814BC1"/>
    <w:rsid w:val="00814C42"/>
    <w:rsid w:val="0081744D"/>
    <w:rsid w:val="00826192"/>
    <w:rsid w:val="00830BF1"/>
    <w:rsid w:val="00830EE1"/>
    <w:rsid w:val="008337E4"/>
    <w:rsid w:val="00846561"/>
    <w:rsid w:val="00846637"/>
    <w:rsid w:val="00853C04"/>
    <w:rsid w:val="00853EE4"/>
    <w:rsid w:val="00863407"/>
    <w:rsid w:val="0086448D"/>
    <w:rsid w:val="00865F5D"/>
    <w:rsid w:val="00867A5E"/>
    <w:rsid w:val="00870C96"/>
    <w:rsid w:val="00871642"/>
    <w:rsid w:val="008732FA"/>
    <w:rsid w:val="008738DE"/>
    <w:rsid w:val="00873DB5"/>
    <w:rsid w:val="00876FA3"/>
    <w:rsid w:val="008811EB"/>
    <w:rsid w:val="00882847"/>
    <w:rsid w:val="00884C0D"/>
    <w:rsid w:val="00887EB8"/>
    <w:rsid w:val="0089219E"/>
    <w:rsid w:val="00894A40"/>
    <w:rsid w:val="008A035F"/>
    <w:rsid w:val="008A082F"/>
    <w:rsid w:val="008A21C4"/>
    <w:rsid w:val="008A5952"/>
    <w:rsid w:val="008A79A5"/>
    <w:rsid w:val="008A7F10"/>
    <w:rsid w:val="008B1BB8"/>
    <w:rsid w:val="008B3230"/>
    <w:rsid w:val="008B6C08"/>
    <w:rsid w:val="008B7013"/>
    <w:rsid w:val="008C12BA"/>
    <w:rsid w:val="008C7C62"/>
    <w:rsid w:val="008D020D"/>
    <w:rsid w:val="008D51B1"/>
    <w:rsid w:val="008E135F"/>
    <w:rsid w:val="008E5AB3"/>
    <w:rsid w:val="00901364"/>
    <w:rsid w:val="009031B2"/>
    <w:rsid w:val="00906544"/>
    <w:rsid w:val="00911FAB"/>
    <w:rsid w:val="00915737"/>
    <w:rsid w:val="0091612E"/>
    <w:rsid w:val="009161BA"/>
    <w:rsid w:val="00922974"/>
    <w:rsid w:val="00935C48"/>
    <w:rsid w:val="009372BA"/>
    <w:rsid w:val="00941396"/>
    <w:rsid w:val="00943616"/>
    <w:rsid w:val="00943796"/>
    <w:rsid w:val="00944994"/>
    <w:rsid w:val="00944E44"/>
    <w:rsid w:val="0095704D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876B9"/>
    <w:rsid w:val="00992023"/>
    <w:rsid w:val="00994E43"/>
    <w:rsid w:val="0099537B"/>
    <w:rsid w:val="009958E1"/>
    <w:rsid w:val="009976D1"/>
    <w:rsid w:val="009A1CAC"/>
    <w:rsid w:val="009A2C39"/>
    <w:rsid w:val="009A47E8"/>
    <w:rsid w:val="009B44FD"/>
    <w:rsid w:val="009B6C13"/>
    <w:rsid w:val="009D640A"/>
    <w:rsid w:val="009D7FE3"/>
    <w:rsid w:val="009E36B9"/>
    <w:rsid w:val="009F3EE5"/>
    <w:rsid w:val="00A00DD0"/>
    <w:rsid w:val="00A04D18"/>
    <w:rsid w:val="00A0610A"/>
    <w:rsid w:val="00A11888"/>
    <w:rsid w:val="00A17AE2"/>
    <w:rsid w:val="00A25F2B"/>
    <w:rsid w:val="00A26E61"/>
    <w:rsid w:val="00A43CF8"/>
    <w:rsid w:val="00A5476D"/>
    <w:rsid w:val="00A56CD3"/>
    <w:rsid w:val="00A61936"/>
    <w:rsid w:val="00A72E21"/>
    <w:rsid w:val="00A730D3"/>
    <w:rsid w:val="00A7342F"/>
    <w:rsid w:val="00A735AF"/>
    <w:rsid w:val="00A81B11"/>
    <w:rsid w:val="00A827EA"/>
    <w:rsid w:val="00A9172F"/>
    <w:rsid w:val="00AA2AF7"/>
    <w:rsid w:val="00AA50EF"/>
    <w:rsid w:val="00AA5AC7"/>
    <w:rsid w:val="00AB05B7"/>
    <w:rsid w:val="00AB144E"/>
    <w:rsid w:val="00AB6B59"/>
    <w:rsid w:val="00AC180A"/>
    <w:rsid w:val="00AC667B"/>
    <w:rsid w:val="00AD3161"/>
    <w:rsid w:val="00AD4894"/>
    <w:rsid w:val="00AD5493"/>
    <w:rsid w:val="00AE05C1"/>
    <w:rsid w:val="00AF2762"/>
    <w:rsid w:val="00AF2BE0"/>
    <w:rsid w:val="00AF4D12"/>
    <w:rsid w:val="00B03996"/>
    <w:rsid w:val="00B12256"/>
    <w:rsid w:val="00B461F2"/>
    <w:rsid w:val="00B47619"/>
    <w:rsid w:val="00B55B62"/>
    <w:rsid w:val="00B616F6"/>
    <w:rsid w:val="00B63A76"/>
    <w:rsid w:val="00B71B59"/>
    <w:rsid w:val="00B71EF8"/>
    <w:rsid w:val="00B73740"/>
    <w:rsid w:val="00B74E65"/>
    <w:rsid w:val="00B7665D"/>
    <w:rsid w:val="00B77FA5"/>
    <w:rsid w:val="00B86C82"/>
    <w:rsid w:val="00B901AE"/>
    <w:rsid w:val="00B95C24"/>
    <w:rsid w:val="00BA02A7"/>
    <w:rsid w:val="00BA111D"/>
    <w:rsid w:val="00BA6385"/>
    <w:rsid w:val="00BA6DBB"/>
    <w:rsid w:val="00BA71CC"/>
    <w:rsid w:val="00BB1469"/>
    <w:rsid w:val="00BB6ED5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1A81"/>
    <w:rsid w:val="00BF37E4"/>
    <w:rsid w:val="00BF7CE0"/>
    <w:rsid w:val="00C018E7"/>
    <w:rsid w:val="00C041F3"/>
    <w:rsid w:val="00C0536A"/>
    <w:rsid w:val="00C06BE4"/>
    <w:rsid w:val="00C10700"/>
    <w:rsid w:val="00C10BD4"/>
    <w:rsid w:val="00C11C5D"/>
    <w:rsid w:val="00C120E8"/>
    <w:rsid w:val="00C12CEA"/>
    <w:rsid w:val="00C135BF"/>
    <w:rsid w:val="00C248D2"/>
    <w:rsid w:val="00C24910"/>
    <w:rsid w:val="00C277AD"/>
    <w:rsid w:val="00C40DE5"/>
    <w:rsid w:val="00C43ADA"/>
    <w:rsid w:val="00C60A28"/>
    <w:rsid w:val="00C61564"/>
    <w:rsid w:val="00C62445"/>
    <w:rsid w:val="00C7012D"/>
    <w:rsid w:val="00C705BF"/>
    <w:rsid w:val="00C7096C"/>
    <w:rsid w:val="00C775D9"/>
    <w:rsid w:val="00C82289"/>
    <w:rsid w:val="00C9004D"/>
    <w:rsid w:val="00C90E44"/>
    <w:rsid w:val="00C92A6D"/>
    <w:rsid w:val="00C966DB"/>
    <w:rsid w:val="00CA3EA4"/>
    <w:rsid w:val="00CB794F"/>
    <w:rsid w:val="00CC07EF"/>
    <w:rsid w:val="00CC1C0B"/>
    <w:rsid w:val="00CC29D7"/>
    <w:rsid w:val="00CC51A4"/>
    <w:rsid w:val="00CD0101"/>
    <w:rsid w:val="00CD1F79"/>
    <w:rsid w:val="00CD299A"/>
    <w:rsid w:val="00CD66C1"/>
    <w:rsid w:val="00D0506F"/>
    <w:rsid w:val="00D10D63"/>
    <w:rsid w:val="00D11739"/>
    <w:rsid w:val="00D14315"/>
    <w:rsid w:val="00D165BC"/>
    <w:rsid w:val="00D22E7C"/>
    <w:rsid w:val="00D268B1"/>
    <w:rsid w:val="00D313A1"/>
    <w:rsid w:val="00D32CA3"/>
    <w:rsid w:val="00D347D6"/>
    <w:rsid w:val="00D377A4"/>
    <w:rsid w:val="00D46B8C"/>
    <w:rsid w:val="00D506E4"/>
    <w:rsid w:val="00D52215"/>
    <w:rsid w:val="00D53005"/>
    <w:rsid w:val="00D564E5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42F2"/>
    <w:rsid w:val="00D95C09"/>
    <w:rsid w:val="00D96533"/>
    <w:rsid w:val="00DA73F5"/>
    <w:rsid w:val="00DB401E"/>
    <w:rsid w:val="00DB443E"/>
    <w:rsid w:val="00DC4BF7"/>
    <w:rsid w:val="00DD29D1"/>
    <w:rsid w:val="00DD5444"/>
    <w:rsid w:val="00DD5A83"/>
    <w:rsid w:val="00DD7446"/>
    <w:rsid w:val="00DF0267"/>
    <w:rsid w:val="00DF71EB"/>
    <w:rsid w:val="00E00318"/>
    <w:rsid w:val="00E02BDE"/>
    <w:rsid w:val="00E12798"/>
    <w:rsid w:val="00E220C3"/>
    <w:rsid w:val="00E23166"/>
    <w:rsid w:val="00E2507F"/>
    <w:rsid w:val="00E25D6D"/>
    <w:rsid w:val="00E265A9"/>
    <w:rsid w:val="00E27573"/>
    <w:rsid w:val="00E301FF"/>
    <w:rsid w:val="00E32370"/>
    <w:rsid w:val="00E33A22"/>
    <w:rsid w:val="00E40B69"/>
    <w:rsid w:val="00E418CE"/>
    <w:rsid w:val="00E425AF"/>
    <w:rsid w:val="00E44922"/>
    <w:rsid w:val="00E50C20"/>
    <w:rsid w:val="00E53236"/>
    <w:rsid w:val="00E56D9A"/>
    <w:rsid w:val="00E57B2D"/>
    <w:rsid w:val="00E6162F"/>
    <w:rsid w:val="00E63F71"/>
    <w:rsid w:val="00E70BB2"/>
    <w:rsid w:val="00E71344"/>
    <w:rsid w:val="00E80821"/>
    <w:rsid w:val="00E82BE5"/>
    <w:rsid w:val="00E8669A"/>
    <w:rsid w:val="00E9244B"/>
    <w:rsid w:val="00E958BA"/>
    <w:rsid w:val="00EA2E43"/>
    <w:rsid w:val="00EB7070"/>
    <w:rsid w:val="00EC1096"/>
    <w:rsid w:val="00ED34BC"/>
    <w:rsid w:val="00ED64F6"/>
    <w:rsid w:val="00EE0A8A"/>
    <w:rsid w:val="00EE3D9C"/>
    <w:rsid w:val="00EE612B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2AA5"/>
    <w:rsid w:val="00F27121"/>
    <w:rsid w:val="00F30A64"/>
    <w:rsid w:val="00F407F6"/>
    <w:rsid w:val="00F4231B"/>
    <w:rsid w:val="00F43364"/>
    <w:rsid w:val="00F43778"/>
    <w:rsid w:val="00F46BC1"/>
    <w:rsid w:val="00F51879"/>
    <w:rsid w:val="00F537C2"/>
    <w:rsid w:val="00F54871"/>
    <w:rsid w:val="00F57877"/>
    <w:rsid w:val="00F60E2E"/>
    <w:rsid w:val="00F646F3"/>
    <w:rsid w:val="00F64DA0"/>
    <w:rsid w:val="00F6631C"/>
    <w:rsid w:val="00F7405C"/>
    <w:rsid w:val="00F74893"/>
    <w:rsid w:val="00F75EE0"/>
    <w:rsid w:val="00F76683"/>
    <w:rsid w:val="00F873FA"/>
    <w:rsid w:val="00F97F6C"/>
    <w:rsid w:val="00FA1F05"/>
    <w:rsid w:val="00FA2E4B"/>
    <w:rsid w:val="00FA34B6"/>
    <w:rsid w:val="00FB1F27"/>
    <w:rsid w:val="00FB2994"/>
    <w:rsid w:val="00FB2CE2"/>
    <w:rsid w:val="00FC0108"/>
    <w:rsid w:val="00FC137C"/>
    <w:rsid w:val="00FC1AF3"/>
    <w:rsid w:val="00FC3A76"/>
    <w:rsid w:val="00FD1093"/>
    <w:rsid w:val="00FD2FB0"/>
    <w:rsid w:val="00FD4A50"/>
    <w:rsid w:val="00FE0D87"/>
    <w:rsid w:val="00FE2049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01237905"/>
    <w:rsid w:val="0E540444"/>
    <w:rsid w:val="1A020335"/>
    <w:rsid w:val="1A5138BA"/>
    <w:rsid w:val="238E2D08"/>
    <w:rsid w:val="25761140"/>
    <w:rsid w:val="28046E5D"/>
    <w:rsid w:val="31AE591F"/>
    <w:rsid w:val="3C720452"/>
    <w:rsid w:val="41194835"/>
    <w:rsid w:val="44792D22"/>
    <w:rsid w:val="491611BC"/>
    <w:rsid w:val="4BB9726D"/>
    <w:rsid w:val="5E872485"/>
    <w:rsid w:val="5EF01E03"/>
    <w:rsid w:val="5FB45F6B"/>
    <w:rsid w:val="60E57578"/>
    <w:rsid w:val="62BD1263"/>
    <w:rsid w:val="70634489"/>
    <w:rsid w:val="7C152CE1"/>
    <w:rsid w:val="7F5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qFormat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34849-330E-4E9D-BDA3-1BE7B0F9D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2268</Characters>
  <Lines>18</Lines>
  <Paragraphs>5</Paragraphs>
  <TotalTime>1</TotalTime>
  <ScaleCrop>false</ScaleCrop>
  <LinksUpToDate>false</LinksUpToDate>
  <CharactersWithSpaces>2660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2014-12-09T05:09:00Z</cp:lastPrinted>
  <dcterms:modified xsi:type="dcterms:W3CDTF">2020-11-13T02:44:12Z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